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E80" w:rsidRPr="00952993" w:rsidRDefault="00D02E80" w:rsidP="00D02E80">
      <w:pPr>
        <w:spacing w:after="0" w:line="240" w:lineRule="auto"/>
        <w:jc w:val="right"/>
        <w:rPr>
          <w:rFonts w:ascii="Calibri" w:hAnsi="Calibri"/>
          <w:b/>
          <w:lang w:val="en-GB"/>
        </w:rPr>
      </w:pPr>
      <w:r w:rsidRPr="00952993">
        <w:rPr>
          <w:b/>
          <w:noProof/>
          <w:lang w:val="en-US"/>
        </w:rPr>
        <w:drawing>
          <wp:inline distT="0" distB="0" distL="0" distR="0" wp14:anchorId="234797F9" wp14:editId="0C9E02AD">
            <wp:extent cx="891540" cy="1268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903" cy="1329016"/>
                    </a:xfrm>
                    <a:prstGeom prst="rect">
                      <a:avLst/>
                    </a:prstGeom>
                  </pic:spPr>
                </pic:pic>
              </a:graphicData>
            </a:graphic>
          </wp:inline>
        </w:drawing>
      </w:r>
    </w:p>
    <w:p w:rsidR="00D02E80" w:rsidRPr="00952993" w:rsidRDefault="00D02E80" w:rsidP="00D02E80">
      <w:pPr>
        <w:spacing w:after="0" w:line="240" w:lineRule="auto"/>
        <w:jc w:val="right"/>
        <w:rPr>
          <w:rFonts w:ascii="Calibri" w:hAnsi="Calibri"/>
          <w:b/>
          <w:lang w:val="en-GB"/>
        </w:rPr>
      </w:pPr>
    </w:p>
    <w:p w:rsidR="009D326C" w:rsidRPr="00952993" w:rsidRDefault="009D326C" w:rsidP="009D326C">
      <w:pPr>
        <w:spacing w:after="0" w:line="240" w:lineRule="auto"/>
        <w:jc w:val="right"/>
        <w:rPr>
          <w:rFonts w:ascii="Calibri" w:hAnsi="Calibri"/>
          <w:b/>
          <w:color w:val="0070C0"/>
          <w:lang w:val="en-GB"/>
        </w:rPr>
      </w:pPr>
      <w:r w:rsidRPr="00952993">
        <w:rPr>
          <w:rFonts w:ascii="Calibri" w:hAnsi="Calibri"/>
          <w:b/>
          <w:color w:val="0070C0"/>
          <w:lang w:val="en-GB"/>
        </w:rPr>
        <w:t>Monitoring of the construction of priority section of the Bar-</w:t>
      </w:r>
      <w:proofErr w:type="spellStart"/>
      <w:r w:rsidRPr="00952993">
        <w:rPr>
          <w:rFonts w:ascii="Calibri" w:hAnsi="Calibri"/>
          <w:b/>
          <w:color w:val="0070C0"/>
          <w:lang w:val="en-GB"/>
        </w:rPr>
        <w:t>Boljare</w:t>
      </w:r>
      <w:proofErr w:type="spellEnd"/>
      <w:r w:rsidRPr="00952993">
        <w:rPr>
          <w:rFonts w:ascii="Calibri" w:hAnsi="Calibri"/>
          <w:b/>
          <w:color w:val="0070C0"/>
          <w:lang w:val="en-GB"/>
        </w:rPr>
        <w:t xml:space="preserve"> highway  </w:t>
      </w:r>
    </w:p>
    <w:p w:rsidR="009D326C" w:rsidRPr="00952993" w:rsidRDefault="009D326C" w:rsidP="009D326C">
      <w:pPr>
        <w:spacing w:after="0" w:line="240" w:lineRule="auto"/>
        <w:jc w:val="right"/>
        <w:rPr>
          <w:rFonts w:ascii="Calibri" w:hAnsi="Calibri"/>
          <w:b/>
          <w:color w:val="0070C0"/>
          <w:lang w:val="en-GB"/>
        </w:rPr>
      </w:pPr>
      <w:r w:rsidRPr="00952993">
        <w:rPr>
          <w:rFonts w:ascii="Calibri" w:hAnsi="Calibri"/>
          <w:b/>
          <w:color w:val="0070C0"/>
          <w:lang w:val="en-GB"/>
        </w:rPr>
        <w:t>(</w:t>
      </w:r>
      <w:proofErr w:type="spellStart"/>
      <w:r w:rsidRPr="00952993">
        <w:rPr>
          <w:rFonts w:ascii="Calibri" w:hAnsi="Calibri"/>
          <w:b/>
          <w:color w:val="0070C0"/>
          <w:lang w:val="en-GB"/>
        </w:rPr>
        <w:t>Smokovac</w:t>
      </w:r>
      <w:proofErr w:type="spellEnd"/>
      <w:r w:rsidRPr="00952993">
        <w:rPr>
          <w:rFonts w:ascii="Calibri" w:hAnsi="Calibri"/>
          <w:b/>
          <w:color w:val="0070C0"/>
          <w:lang w:val="en-GB"/>
        </w:rPr>
        <w:t xml:space="preserve"> - </w:t>
      </w:r>
      <w:proofErr w:type="spellStart"/>
      <w:r w:rsidRPr="00952993">
        <w:rPr>
          <w:rFonts w:ascii="Calibri" w:hAnsi="Calibri"/>
          <w:b/>
          <w:color w:val="0070C0"/>
          <w:lang w:val="en-GB"/>
        </w:rPr>
        <w:t>Mateševo</w:t>
      </w:r>
      <w:proofErr w:type="spellEnd"/>
      <w:r w:rsidRPr="00952993">
        <w:rPr>
          <w:rFonts w:ascii="Calibri" w:hAnsi="Calibri"/>
          <w:b/>
          <w:color w:val="0070C0"/>
          <w:lang w:val="en-GB"/>
        </w:rPr>
        <w:t xml:space="preserve"> section) </w:t>
      </w:r>
    </w:p>
    <w:p w:rsidR="00D02E80" w:rsidRPr="00952993" w:rsidRDefault="009D326C" w:rsidP="009D326C">
      <w:pPr>
        <w:spacing w:after="0" w:line="240" w:lineRule="auto"/>
        <w:jc w:val="right"/>
        <w:rPr>
          <w:rFonts w:ascii="Calibri" w:hAnsi="Calibri"/>
          <w:b/>
          <w:lang w:val="en-GB"/>
        </w:rPr>
      </w:pPr>
      <w:r w:rsidRPr="00952993">
        <w:rPr>
          <w:rFonts w:ascii="Calibri" w:hAnsi="Calibri"/>
          <w:b/>
          <w:color w:val="0070C0"/>
          <w:lang w:val="en-GB"/>
        </w:rPr>
        <w:t>2019/2020</w:t>
      </w:r>
    </w:p>
    <w:p w:rsidR="00D02E80" w:rsidRPr="00952993" w:rsidRDefault="00D02E80" w:rsidP="00D02E80">
      <w:pPr>
        <w:spacing w:after="0" w:line="240" w:lineRule="auto"/>
        <w:jc w:val="right"/>
        <w:rPr>
          <w:rFonts w:ascii="Calibri" w:hAnsi="Calibri"/>
          <w:b/>
          <w:lang w:val="en-GB"/>
        </w:rPr>
      </w:pPr>
    </w:p>
    <w:p w:rsidR="00D02E80" w:rsidRPr="00952993" w:rsidRDefault="00D02E80" w:rsidP="00D02E80">
      <w:pPr>
        <w:spacing w:after="0" w:line="240" w:lineRule="auto"/>
        <w:jc w:val="right"/>
        <w:rPr>
          <w:rFonts w:ascii="Calibri" w:hAnsi="Calibri"/>
          <w:b/>
          <w:lang w:val="en-GB"/>
        </w:rPr>
      </w:pPr>
    </w:p>
    <w:p w:rsidR="00D02E80" w:rsidRPr="00952993" w:rsidRDefault="00D02E80" w:rsidP="00D02E80">
      <w:pPr>
        <w:spacing w:after="0" w:line="240" w:lineRule="auto"/>
        <w:jc w:val="right"/>
        <w:rPr>
          <w:rFonts w:ascii="Calibri" w:hAnsi="Calibri"/>
          <w:b/>
          <w:lang w:val="en-GB"/>
        </w:rPr>
      </w:pPr>
    </w:p>
    <w:p w:rsidR="00D02E80" w:rsidRPr="00952993" w:rsidRDefault="00D02E80" w:rsidP="00D02E80">
      <w:pPr>
        <w:spacing w:after="0" w:line="240" w:lineRule="auto"/>
        <w:rPr>
          <w:rFonts w:ascii="Calibri" w:hAnsi="Calibri"/>
          <w:b/>
          <w:caps/>
          <w:color w:val="0070C0"/>
          <w:sz w:val="60"/>
          <w:szCs w:val="60"/>
          <w:lang w:val="en-GB"/>
        </w:rPr>
      </w:pPr>
    </w:p>
    <w:p w:rsidR="00D02E80" w:rsidRPr="00952993" w:rsidRDefault="009D326C" w:rsidP="00D02E80">
      <w:pPr>
        <w:spacing w:after="0" w:line="240" w:lineRule="auto"/>
        <w:jc w:val="right"/>
        <w:rPr>
          <w:rFonts w:ascii="Calibri" w:hAnsi="Calibri"/>
          <w:b/>
          <w:caps/>
          <w:color w:val="0070C0"/>
          <w:sz w:val="60"/>
          <w:szCs w:val="60"/>
          <w:lang w:val="en-GB"/>
        </w:rPr>
      </w:pPr>
      <w:r w:rsidRPr="00952993">
        <w:rPr>
          <w:rFonts w:ascii="Calibri" w:hAnsi="Calibri"/>
          <w:b/>
          <w:caps/>
          <w:color w:val="0070C0"/>
          <w:sz w:val="60"/>
          <w:szCs w:val="60"/>
          <w:lang w:val="en-GB"/>
        </w:rPr>
        <w:t>(</w:t>
      </w:r>
      <w:proofErr w:type="gramStart"/>
      <w:r w:rsidRPr="00952993">
        <w:rPr>
          <w:rFonts w:ascii="Calibri" w:hAnsi="Calibri"/>
          <w:b/>
          <w:caps/>
          <w:color w:val="0070C0"/>
          <w:sz w:val="60"/>
          <w:szCs w:val="60"/>
          <w:lang w:val="en-GB"/>
        </w:rPr>
        <w:t>NON</w:t>
      </w:r>
      <w:proofErr w:type="gramEnd"/>
      <w:r w:rsidRPr="00952993">
        <w:rPr>
          <w:rFonts w:ascii="Calibri" w:hAnsi="Calibri"/>
          <w:b/>
          <w:caps/>
          <w:color w:val="0070C0"/>
          <w:sz w:val="60"/>
          <w:szCs w:val="60"/>
          <w:lang w:val="en-GB"/>
        </w:rPr>
        <w:t xml:space="preserve">) WORK OF </w:t>
      </w:r>
      <w:r w:rsidR="006E2D8C">
        <w:rPr>
          <w:rFonts w:ascii="Calibri" w:hAnsi="Calibri"/>
          <w:b/>
          <w:caps/>
          <w:color w:val="0070C0"/>
          <w:sz w:val="60"/>
          <w:szCs w:val="60"/>
          <w:lang w:val="en-GB"/>
        </w:rPr>
        <w:t xml:space="preserve">THE </w:t>
      </w:r>
      <w:r w:rsidRPr="00952993">
        <w:rPr>
          <w:rFonts w:ascii="Calibri" w:hAnsi="Calibri"/>
          <w:b/>
          <w:caps/>
          <w:color w:val="0070C0"/>
          <w:sz w:val="60"/>
          <w:szCs w:val="60"/>
          <w:lang w:val="en-GB"/>
        </w:rPr>
        <w:t xml:space="preserve">Environmental INSPECTION IN RELATION TO THE HIGHWAY PROJECT </w:t>
      </w:r>
    </w:p>
    <w:p w:rsidR="00D02E80" w:rsidRPr="00952993" w:rsidRDefault="00D02E80" w:rsidP="00D02E80">
      <w:pPr>
        <w:spacing w:after="0" w:line="240" w:lineRule="auto"/>
        <w:jc w:val="right"/>
        <w:rPr>
          <w:rFonts w:ascii="Calibri" w:hAnsi="Calibri"/>
          <w:b/>
          <w:caps/>
          <w:color w:val="0070C0"/>
          <w:sz w:val="60"/>
          <w:szCs w:val="60"/>
          <w:lang w:val="en-GB"/>
        </w:rPr>
      </w:pPr>
      <w:r w:rsidRPr="00952993">
        <w:rPr>
          <w:b/>
          <w:noProof/>
          <w:lang w:val="en-US"/>
        </w:rPr>
        <mc:AlternateContent>
          <mc:Choice Requires="wps">
            <w:drawing>
              <wp:anchor distT="0" distB="0" distL="114300" distR="114300" simplePos="0" relativeHeight="251661312" behindDoc="0" locked="0" layoutInCell="1" allowOverlap="1" wp14:anchorId="24D96ACF" wp14:editId="43E3575F">
                <wp:simplePos x="0" y="0"/>
                <wp:positionH relativeFrom="column">
                  <wp:posOffset>0</wp:posOffset>
                </wp:positionH>
                <wp:positionV relativeFrom="paragraph">
                  <wp:posOffset>0</wp:posOffset>
                </wp:positionV>
                <wp:extent cx="5818909" cy="0"/>
                <wp:effectExtent l="0" t="0" r="10795" b="12700"/>
                <wp:wrapNone/>
                <wp:docPr id="10" name="Straight Connector 10"/>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E2F421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" strokecolor="#5b9bd5" strokeweight=".5pt">
                <v:stroke joinstyle="miter"/>
              </v:line>
            </w:pict>
          </mc:Fallback>
        </mc:AlternateContent>
      </w:r>
      <w:r w:rsidR="009D326C" w:rsidRPr="00952993">
        <w:rPr>
          <w:lang w:val="en-GB"/>
        </w:rPr>
        <w:t xml:space="preserve"> </w:t>
      </w:r>
      <w:r w:rsidR="009D326C" w:rsidRPr="00952993">
        <w:rPr>
          <w:rFonts w:ascii="Calibri" w:hAnsi="Calibri"/>
          <w:b/>
          <w:color w:val="0070C0"/>
          <w:lang w:val="en-GB"/>
        </w:rPr>
        <w:t>Analysis of the actions of state institutions</w:t>
      </w: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rFonts w:ascii="Calibri" w:hAnsi="Calibri"/>
          <w:b/>
          <w:lang w:val="en-GB"/>
        </w:rPr>
      </w:pPr>
    </w:p>
    <w:p w:rsidR="00D02E80" w:rsidRPr="00952993" w:rsidRDefault="00D02E80" w:rsidP="00D02E80">
      <w:pPr>
        <w:spacing w:after="0" w:line="240" w:lineRule="auto"/>
        <w:jc w:val="both"/>
        <w:rPr>
          <w:b/>
          <w:lang w:val="en-GB"/>
        </w:rPr>
      </w:pPr>
    </w:p>
    <w:p w:rsidR="00D02E80" w:rsidRPr="00952993" w:rsidRDefault="00D02E80" w:rsidP="00D02E80">
      <w:pPr>
        <w:spacing w:after="0" w:line="240" w:lineRule="auto"/>
        <w:jc w:val="both"/>
        <w:rPr>
          <w:b/>
          <w:lang w:val="en-GB"/>
        </w:rPr>
      </w:pPr>
    </w:p>
    <w:p w:rsidR="00D02E80" w:rsidRPr="00952993" w:rsidRDefault="00D02E80" w:rsidP="00D02E80">
      <w:pPr>
        <w:spacing w:after="0" w:line="240" w:lineRule="auto"/>
        <w:jc w:val="both"/>
        <w:rPr>
          <w:b/>
          <w:lang w:val="en-GB"/>
        </w:rPr>
      </w:pPr>
    </w:p>
    <w:p w:rsidR="00D02E80" w:rsidRPr="00952993" w:rsidRDefault="00D02E80" w:rsidP="00D02E80">
      <w:pPr>
        <w:spacing w:after="0" w:line="240" w:lineRule="auto"/>
        <w:jc w:val="both"/>
        <w:rPr>
          <w:b/>
          <w:lang w:val="en-GB"/>
        </w:rPr>
      </w:pPr>
    </w:p>
    <w:p w:rsidR="00D02E80" w:rsidRPr="00952993" w:rsidRDefault="00D02E80" w:rsidP="00D02E80">
      <w:pPr>
        <w:spacing w:after="0" w:line="240" w:lineRule="auto"/>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163"/>
        <w:gridCol w:w="1498"/>
      </w:tblGrid>
      <w:tr w:rsidR="00D02E80" w:rsidRPr="00952993" w:rsidTr="00ED2945">
        <w:tc>
          <w:tcPr>
            <w:tcW w:w="1413" w:type="dxa"/>
          </w:tcPr>
          <w:p w:rsidR="00D02E80" w:rsidRPr="00952993" w:rsidRDefault="00D02E80" w:rsidP="00ED2945">
            <w:pPr>
              <w:jc w:val="both"/>
              <w:rPr>
                <w:b/>
                <w:lang w:val="en-GB"/>
              </w:rPr>
            </w:pPr>
            <w:r w:rsidRPr="00952993">
              <w:rPr>
                <w:b/>
                <w:noProof/>
                <w:lang w:val="en-US"/>
              </w:rPr>
              <w:drawing>
                <wp:anchor distT="0" distB="0" distL="114300" distR="114300" simplePos="0" relativeHeight="251662336" behindDoc="0" locked="0" layoutInCell="1" allowOverlap="1" wp14:anchorId="039BBEFE" wp14:editId="08FAC3D5">
                  <wp:simplePos x="0" y="0"/>
                  <wp:positionH relativeFrom="column">
                    <wp:posOffset>-3810</wp:posOffset>
                  </wp:positionH>
                  <wp:positionV relativeFrom="paragraph">
                    <wp:posOffset>90436</wp:posOffset>
                  </wp:positionV>
                  <wp:extent cx="723600" cy="5004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European-Union-Flag-icon.png"/>
                          <pic:cNvPicPr/>
                        </pic:nvPicPr>
                        <pic:blipFill rotWithShape="1">
                          <a:blip r:embed="rId9" cstate="print">
                            <a:extLst>
                              <a:ext uri="{28A0092B-C50C-407E-A947-70E740481C1C}">
                                <a14:useLocalDpi xmlns:a14="http://schemas.microsoft.com/office/drawing/2010/main" val="0"/>
                              </a:ext>
                            </a:extLst>
                          </a:blip>
                          <a:srcRect t="15246" b="15504"/>
                          <a:stretch/>
                        </pic:blipFill>
                        <pic:spPr bwMode="auto">
                          <a:xfrm>
                            <a:off x="0" y="0"/>
                            <a:ext cx="723600" cy="5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64" w:type="dxa"/>
          </w:tcPr>
          <w:p w:rsidR="00D02E80" w:rsidRPr="00952993" w:rsidRDefault="009D326C" w:rsidP="00ED2945">
            <w:pPr>
              <w:jc w:val="both"/>
              <w:rPr>
                <w:rFonts w:asciiTheme="minorHAnsi" w:hAnsiTheme="minorHAnsi"/>
                <w:bCs/>
                <w:sz w:val="18"/>
                <w:szCs w:val="18"/>
                <w:lang w:val="en-GB"/>
              </w:rPr>
            </w:pPr>
            <w:r w:rsidRPr="00952993">
              <w:rPr>
                <w:rFonts w:asciiTheme="minorHAnsi" w:hAnsiTheme="minorHAnsi"/>
                <w:bCs/>
                <w:color w:val="BFBFBF" w:themeColor="background1" w:themeShade="BF"/>
                <w:sz w:val="18"/>
                <w:szCs w:val="18"/>
                <w:lang w:val="en-GB"/>
              </w:rPr>
              <w:t xml:space="preserve">The study is a part of the project "Active citizens for Montenegro - towards the rule of law and sustainable development of Montenegro" funded by the European Union through the Delegation of the European Union to Montenegro, and implemented by the NGO Network for Affirmation of NGO Sector - MANS. The opinions and views taken herein </w:t>
            </w:r>
            <w:proofErr w:type="gramStart"/>
            <w:r w:rsidRPr="00952993">
              <w:rPr>
                <w:rFonts w:asciiTheme="minorHAnsi" w:hAnsiTheme="minorHAnsi"/>
                <w:bCs/>
                <w:color w:val="BFBFBF" w:themeColor="background1" w:themeShade="BF"/>
                <w:sz w:val="18"/>
                <w:szCs w:val="18"/>
                <w:lang w:val="en-GB"/>
              </w:rPr>
              <w:t>shall not in any case be considered</w:t>
            </w:r>
            <w:proofErr w:type="gramEnd"/>
            <w:r w:rsidRPr="00952993">
              <w:rPr>
                <w:rFonts w:asciiTheme="minorHAnsi" w:hAnsiTheme="minorHAnsi"/>
                <w:bCs/>
                <w:color w:val="BFBFBF" w:themeColor="background1" w:themeShade="BF"/>
                <w:sz w:val="18"/>
                <w:szCs w:val="18"/>
                <w:lang w:val="en-GB"/>
              </w:rPr>
              <w:t xml:space="preserve"> as those of the donors that financially supported the project.</w:t>
            </w:r>
          </w:p>
        </w:tc>
        <w:tc>
          <w:tcPr>
            <w:tcW w:w="1285" w:type="dxa"/>
          </w:tcPr>
          <w:p w:rsidR="00D02E80" w:rsidRPr="00952993" w:rsidRDefault="00D02E80" w:rsidP="00ED2945">
            <w:pPr>
              <w:jc w:val="both"/>
              <w:rPr>
                <w:b/>
                <w:lang w:val="en-GB"/>
              </w:rPr>
            </w:pPr>
            <w:r w:rsidRPr="00952993">
              <w:rPr>
                <w:b/>
                <w:noProof/>
                <w:lang w:val="en-US"/>
              </w:rPr>
              <w:drawing>
                <wp:inline distT="0" distB="0" distL="0" distR="0" wp14:anchorId="173786A4" wp14:editId="48350743">
                  <wp:extent cx="814426" cy="521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08 at 16.05.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601" cy="546605"/>
                          </a:xfrm>
                          <a:prstGeom prst="rect">
                            <a:avLst/>
                          </a:prstGeom>
                        </pic:spPr>
                      </pic:pic>
                    </a:graphicData>
                  </a:graphic>
                </wp:inline>
              </w:drawing>
            </w:r>
          </w:p>
        </w:tc>
      </w:tr>
    </w:tbl>
    <w:p w:rsidR="00D02E80" w:rsidRPr="00952993" w:rsidRDefault="009D326C" w:rsidP="00D02E80">
      <w:pPr>
        <w:spacing w:after="0" w:line="240" w:lineRule="auto"/>
        <w:jc w:val="both"/>
        <w:rPr>
          <w:rFonts w:asciiTheme="majorHAnsi" w:hAnsiTheme="majorHAnsi" w:cstheme="majorHAnsi"/>
          <w:bCs/>
          <w:color w:val="BFBFBF" w:themeColor="background1" w:themeShade="BF"/>
          <w:lang w:val="en-GB"/>
        </w:rPr>
      </w:pPr>
      <w:r w:rsidRPr="00952993">
        <w:rPr>
          <w:rFonts w:asciiTheme="majorHAnsi" w:hAnsiTheme="majorHAnsi" w:cstheme="majorHAnsi"/>
          <w:bCs/>
          <w:color w:val="BFBFBF" w:themeColor="background1" w:themeShade="BF"/>
          <w:lang w:val="en-GB"/>
        </w:rPr>
        <w:lastRenderedPageBreak/>
        <w:t>CASE STUDY</w:t>
      </w:r>
    </w:p>
    <w:p w:rsidR="00D02E80" w:rsidRPr="00952993" w:rsidRDefault="00D02E80" w:rsidP="00D02E80">
      <w:pPr>
        <w:spacing w:after="0" w:line="240" w:lineRule="auto"/>
        <w:jc w:val="both"/>
        <w:rPr>
          <w:b/>
          <w:lang w:val="en-GB"/>
        </w:rPr>
      </w:pPr>
      <w:r w:rsidRPr="00952993">
        <w:rPr>
          <w:b/>
          <w:noProof/>
          <w:lang w:val="en-US"/>
        </w:rPr>
        <mc:AlternateContent>
          <mc:Choice Requires="wps">
            <w:drawing>
              <wp:anchor distT="0" distB="0" distL="114300" distR="114300" simplePos="0" relativeHeight="251659264" behindDoc="0" locked="0" layoutInCell="1" allowOverlap="1" wp14:anchorId="35646C55" wp14:editId="689CCE4C">
                <wp:simplePos x="0" y="0"/>
                <wp:positionH relativeFrom="column">
                  <wp:posOffset>-2021</wp:posOffset>
                </wp:positionH>
                <wp:positionV relativeFrom="paragraph">
                  <wp:posOffset>79721</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344700A"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" strokecolor="#5b9bd5" strokeweight=".5pt">
                <v:stroke joinstyle="miter"/>
              </v:line>
            </w:pict>
          </mc:Fallback>
        </mc:AlternateContent>
      </w:r>
    </w:p>
    <w:p w:rsidR="00D02E80" w:rsidRPr="00952993" w:rsidRDefault="009607F5" w:rsidP="00D02E80">
      <w:pPr>
        <w:spacing w:after="0" w:line="240" w:lineRule="auto"/>
        <w:jc w:val="both"/>
        <w:rPr>
          <w:rFonts w:asciiTheme="majorHAnsi" w:hAnsiTheme="majorHAnsi" w:cstheme="majorHAnsi"/>
          <w:b/>
          <w:color w:val="5B9BD5" w:themeColor="accent1"/>
          <w:sz w:val="36"/>
          <w:szCs w:val="36"/>
          <w:lang w:val="en-GB"/>
        </w:rPr>
      </w:pPr>
      <w:r w:rsidRPr="00952993">
        <w:rPr>
          <w:rFonts w:asciiTheme="majorHAnsi" w:hAnsiTheme="majorHAnsi" w:cstheme="majorHAnsi"/>
          <w:b/>
          <w:color w:val="5B9BD5" w:themeColor="accent1"/>
          <w:sz w:val="36"/>
          <w:szCs w:val="36"/>
          <w:lang w:val="en-GB"/>
        </w:rPr>
        <w:t>(</w:t>
      </w:r>
      <w:proofErr w:type="gramStart"/>
      <w:r w:rsidRPr="00952993">
        <w:rPr>
          <w:rFonts w:asciiTheme="majorHAnsi" w:hAnsiTheme="majorHAnsi" w:cstheme="majorHAnsi"/>
          <w:b/>
          <w:color w:val="5B9BD5" w:themeColor="accent1"/>
          <w:sz w:val="36"/>
          <w:szCs w:val="36"/>
          <w:lang w:val="en-GB"/>
        </w:rPr>
        <w:t>Non</w:t>
      </w:r>
      <w:proofErr w:type="gramEnd"/>
      <w:r w:rsidRPr="00952993">
        <w:rPr>
          <w:rFonts w:asciiTheme="majorHAnsi" w:hAnsiTheme="majorHAnsi" w:cstheme="majorHAnsi"/>
          <w:b/>
          <w:color w:val="5B9BD5" w:themeColor="accent1"/>
          <w:sz w:val="36"/>
          <w:szCs w:val="36"/>
          <w:lang w:val="en-GB"/>
        </w:rPr>
        <w:t xml:space="preserve">) work of the Department for Environmental Inspection in relation to the project of construction of the Bar - </w:t>
      </w:r>
      <w:proofErr w:type="spellStart"/>
      <w:r w:rsidRPr="00952993">
        <w:rPr>
          <w:rFonts w:asciiTheme="majorHAnsi" w:hAnsiTheme="majorHAnsi" w:cstheme="majorHAnsi"/>
          <w:b/>
          <w:color w:val="5B9BD5" w:themeColor="accent1"/>
          <w:sz w:val="36"/>
          <w:szCs w:val="36"/>
          <w:lang w:val="en-GB"/>
        </w:rPr>
        <w:t>Boljare</w:t>
      </w:r>
      <w:proofErr w:type="spellEnd"/>
      <w:r w:rsidRPr="00952993">
        <w:rPr>
          <w:lang w:val="en-GB"/>
        </w:rPr>
        <w:t xml:space="preserve"> </w:t>
      </w:r>
      <w:r w:rsidRPr="00952993">
        <w:rPr>
          <w:rFonts w:asciiTheme="majorHAnsi" w:hAnsiTheme="majorHAnsi" w:cstheme="majorHAnsi"/>
          <w:b/>
          <w:color w:val="5B9BD5" w:themeColor="accent1"/>
          <w:sz w:val="36"/>
          <w:szCs w:val="36"/>
          <w:lang w:val="en-GB"/>
        </w:rPr>
        <w:t>highway</w:t>
      </w:r>
    </w:p>
    <w:p w:rsidR="00D02E80" w:rsidRPr="00952993" w:rsidRDefault="00D02E80" w:rsidP="00D02E80">
      <w:pPr>
        <w:spacing w:after="0" w:line="240" w:lineRule="auto"/>
        <w:jc w:val="both"/>
        <w:rPr>
          <w:rFonts w:asciiTheme="majorHAnsi" w:hAnsiTheme="majorHAnsi" w:cstheme="majorHAnsi"/>
          <w:b/>
          <w:color w:val="5B9BD5" w:themeColor="accent1"/>
          <w:szCs w:val="36"/>
          <w:lang w:val="en-GB"/>
        </w:rPr>
      </w:pPr>
    </w:p>
    <w:p w:rsidR="00D02E80" w:rsidRPr="00952993" w:rsidRDefault="009607F5" w:rsidP="00E034AD">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Bearing in mind that it was not possible to obtain data on what and </w:t>
      </w:r>
      <w:r w:rsidR="005B0023" w:rsidRPr="00952993">
        <w:rPr>
          <w:rFonts w:asciiTheme="majorHAnsi" w:hAnsiTheme="majorHAnsi" w:cstheme="majorHAnsi"/>
          <w:lang w:val="en-GB"/>
        </w:rPr>
        <w:t xml:space="preserve">in what way </w:t>
      </w:r>
      <w:r w:rsidRPr="00952993">
        <w:rPr>
          <w:rFonts w:asciiTheme="majorHAnsi" w:hAnsiTheme="majorHAnsi" w:cstheme="majorHAnsi"/>
          <w:lang w:val="en-GB"/>
        </w:rPr>
        <w:t>the inspections within the Directorate for Inspection Affairs of Montenegro did in connection with the devastation of the Tara River, which was processed in a special study,</w:t>
      </w:r>
      <w:r w:rsidR="00E034AD" w:rsidRPr="00952993">
        <w:rPr>
          <w:rStyle w:val="FootnoteReference"/>
          <w:rFonts w:asciiTheme="majorHAnsi" w:hAnsiTheme="majorHAnsi" w:cstheme="majorHAnsi"/>
          <w:lang w:val="en-GB"/>
        </w:rPr>
        <w:footnoteReference w:id="1"/>
      </w:r>
      <w:r w:rsidR="00E034AD" w:rsidRPr="00952993">
        <w:rPr>
          <w:rFonts w:asciiTheme="majorHAnsi" w:hAnsiTheme="majorHAnsi" w:cstheme="majorHAnsi"/>
          <w:lang w:val="en-GB"/>
        </w:rPr>
        <w:t xml:space="preserve"> </w:t>
      </w:r>
      <w:r w:rsidRPr="00952993">
        <w:rPr>
          <w:rFonts w:asciiTheme="majorHAnsi" w:hAnsiTheme="majorHAnsi" w:cstheme="majorHAnsi"/>
          <w:lang w:val="en-GB"/>
        </w:rPr>
        <w:t>in June 2019</w:t>
      </w:r>
      <w:r w:rsidR="005B0023" w:rsidRPr="00952993">
        <w:rPr>
          <w:rFonts w:asciiTheme="majorHAnsi" w:hAnsiTheme="majorHAnsi" w:cstheme="majorHAnsi"/>
          <w:lang w:val="en-GB"/>
        </w:rPr>
        <w:t>,</w:t>
      </w:r>
      <w:r w:rsidRPr="00952993">
        <w:rPr>
          <w:rFonts w:asciiTheme="majorHAnsi" w:hAnsiTheme="majorHAnsi" w:cstheme="majorHAnsi"/>
          <w:lang w:val="en-GB"/>
        </w:rPr>
        <w:t xml:space="preserve"> MANS tried to </w:t>
      </w:r>
      <w:r w:rsidR="00E034AD" w:rsidRPr="00952993">
        <w:rPr>
          <w:rFonts w:asciiTheme="majorHAnsi" w:hAnsiTheme="majorHAnsi" w:cstheme="majorHAnsi"/>
          <w:lang w:val="en-GB"/>
        </w:rPr>
        <w:t>obtain</w:t>
      </w:r>
      <w:r w:rsidRPr="00952993">
        <w:rPr>
          <w:rFonts w:asciiTheme="majorHAnsi" w:hAnsiTheme="majorHAnsi" w:cstheme="majorHAnsi"/>
          <w:lang w:val="en-GB"/>
        </w:rPr>
        <w:t xml:space="preserve"> broader data on the work of the Department </w:t>
      </w:r>
      <w:r w:rsidR="00E034AD" w:rsidRPr="00952993">
        <w:rPr>
          <w:rFonts w:asciiTheme="majorHAnsi" w:hAnsiTheme="majorHAnsi" w:cstheme="majorHAnsi"/>
          <w:lang w:val="en-GB"/>
        </w:rPr>
        <w:t>for</w:t>
      </w:r>
      <w:r w:rsidRPr="00952993">
        <w:rPr>
          <w:rFonts w:asciiTheme="majorHAnsi" w:hAnsiTheme="majorHAnsi" w:cstheme="majorHAnsi"/>
          <w:lang w:val="en-GB"/>
        </w:rPr>
        <w:t xml:space="preserve"> Environmental Inspection.</w:t>
      </w:r>
      <w:r w:rsidR="00E034AD" w:rsidRPr="00952993">
        <w:rPr>
          <w:rStyle w:val="FootnoteReference"/>
          <w:rFonts w:asciiTheme="majorHAnsi" w:hAnsiTheme="majorHAnsi" w:cstheme="majorHAnsi"/>
          <w:lang w:val="en-GB"/>
        </w:rPr>
        <w:footnoteReference w:id="2"/>
      </w:r>
    </w:p>
    <w:p w:rsidR="00D02E80" w:rsidRPr="00952993" w:rsidRDefault="00D02E80" w:rsidP="00D02E80">
      <w:pPr>
        <w:spacing w:after="0" w:line="240" w:lineRule="auto"/>
        <w:jc w:val="both"/>
        <w:rPr>
          <w:rFonts w:asciiTheme="majorHAnsi" w:hAnsiTheme="majorHAnsi" w:cstheme="majorHAnsi"/>
          <w:lang w:val="en-GB"/>
        </w:rPr>
      </w:pPr>
    </w:p>
    <w:p w:rsidR="00C67434" w:rsidRPr="00952993" w:rsidRDefault="00D02E80" w:rsidP="00D02E80">
      <w:pPr>
        <w:spacing w:after="0" w:line="240" w:lineRule="auto"/>
        <w:jc w:val="both"/>
        <w:rPr>
          <w:rFonts w:asciiTheme="majorHAnsi" w:hAnsiTheme="majorHAnsi" w:cstheme="majorHAnsi"/>
          <w:lang w:val="en-GB"/>
        </w:rPr>
      </w:pPr>
      <w:r w:rsidRPr="00952993">
        <w:rPr>
          <w:rFonts w:asciiTheme="majorHAnsi" w:hAnsiTheme="majorHAnsi" w:cstheme="majorHAnsi"/>
          <w:b/>
          <w:noProof/>
          <w:color w:val="5B9BD5" w:themeColor="accent1"/>
          <w:sz w:val="36"/>
          <w:szCs w:val="36"/>
          <w:lang w:val="en-US"/>
        </w:rPr>
        <mc:AlternateContent>
          <mc:Choice Requires="wps">
            <w:drawing>
              <wp:anchor distT="0" distB="0" distL="114300" distR="114300" simplePos="0" relativeHeight="251660288" behindDoc="0" locked="0" layoutInCell="1" allowOverlap="1" wp14:anchorId="62A31625" wp14:editId="25956FCC">
                <wp:simplePos x="0" y="0"/>
                <wp:positionH relativeFrom="column">
                  <wp:posOffset>-2540</wp:posOffset>
                </wp:positionH>
                <wp:positionV relativeFrom="paragraph">
                  <wp:posOffset>41044</wp:posOffset>
                </wp:positionV>
                <wp:extent cx="1778000" cy="5710555"/>
                <wp:effectExtent l="0" t="0" r="0" b="4445"/>
                <wp:wrapSquare wrapText="bothSides"/>
                <wp:docPr id="9" name="Text Box 9"/>
                <wp:cNvGraphicFramePr/>
                <a:graphic xmlns:a="http://schemas.openxmlformats.org/drawingml/2006/main">
                  <a:graphicData uri="http://schemas.microsoft.com/office/word/2010/wordprocessingShape">
                    <wps:wsp>
                      <wps:cNvSpPr txBox="1"/>
                      <wps:spPr>
                        <a:xfrm>
                          <a:off x="0" y="0"/>
                          <a:ext cx="1778000" cy="5710555"/>
                        </a:xfrm>
                        <a:prstGeom prst="rect">
                          <a:avLst/>
                        </a:prstGeom>
                        <a:solidFill>
                          <a:srgbClr val="5B9BD5">
                            <a:lumMod val="20000"/>
                            <a:lumOff val="80000"/>
                          </a:srgbClr>
                        </a:solidFill>
                        <a:ln w="6350">
                          <a:noFill/>
                        </a:ln>
                      </wps:spPr>
                      <wps:txbx>
                        <w:txbxContent>
                          <w:p w:rsidR="00D02E80" w:rsidRPr="00952993" w:rsidRDefault="00952993" w:rsidP="00D02E80">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952993">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rsidR="00952993" w:rsidRPr="00E959BC" w:rsidRDefault="00952993" w:rsidP="00D02E80">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p>
                          <w:p w:rsidR="00D02E80" w:rsidRDefault="00952993" w:rsidP="00D02E80">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F74F01">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rsidR="00952993" w:rsidRPr="00E959BC" w:rsidRDefault="00952993" w:rsidP="00D02E80">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p>
                          <w:p w:rsidR="00952993" w:rsidRPr="00E959BC" w:rsidRDefault="00952993" w:rsidP="00952993">
                            <w:pPr>
                              <w:jc w:val="both"/>
                              <w:rPr>
                                <w:sz w:val="18"/>
                                <w:szCs w:val="18"/>
                                <w14:textOutline w14:w="9525" w14:cap="rnd" w14:cmpd="sng" w14:algn="ctr">
                                  <w14:noFill/>
                                  <w14:prstDash w14:val="solid"/>
                                  <w14:bevel/>
                                </w14:textOutline>
                              </w:rPr>
                            </w:pPr>
                            <w:r w:rsidRPr="00F74F01">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rsidR="00D02E80" w:rsidRPr="00E959BC" w:rsidRDefault="00D02E80" w:rsidP="00952993">
                            <w:pPr>
                              <w:spacing w:after="0" w:line="240" w:lineRule="auto"/>
                              <w:jc w:val="both"/>
                              <w:rPr>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31625" id="_x0000_t202" coordsize="21600,21600" o:spt="202" path="m,l,21600r21600,l21600,xe">
                <v:stroke joinstyle="miter"/>
                <v:path gradientshapeok="t" o:connecttype="rect"/>
              </v:shapetype>
              <v:shape id="Text Box 9" o:spid="_x0000_s1026" type="#_x0000_t202" style="position:absolute;left:0;text-align:left;margin-left:-.2pt;margin-top:3.25pt;width:140pt;height:4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" fillcolor="#deebf7" stroked="f" strokeweight=".5pt">
                <v:textbox>
                  <w:txbxContent>
                    <w:p w:rsidR="00D02E80" w:rsidRPr="00952993" w:rsidRDefault="00952993" w:rsidP="00D02E80">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952993">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rsidR="00952993" w:rsidRPr="00E959BC" w:rsidRDefault="00952993" w:rsidP="00D02E80">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p>
                    <w:p w:rsidR="00D02E80" w:rsidRDefault="00952993" w:rsidP="00D02E80">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F74F01">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rsidR="00952993" w:rsidRPr="00E959BC" w:rsidRDefault="00952993" w:rsidP="00D02E80">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p>
                    <w:p w:rsidR="00952993" w:rsidRPr="00E959BC" w:rsidRDefault="00952993" w:rsidP="00952993">
                      <w:pPr>
                        <w:jc w:val="both"/>
                        <w:rPr>
                          <w:sz w:val="18"/>
                          <w:szCs w:val="18"/>
                          <w14:textOutline w14:w="9525" w14:cap="rnd" w14:cmpd="sng" w14:algn="ctr">
                            <w14:noFill/>
                            <w14:prstDash w14:val="solid"/>
                            <w14:bevel/>
                          </w14:textOutline>
                        </w:rPr>
                      </w:pPr>
                      <w:r w:rsidRPr="00F74F01">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rsidR="00D02E80" w:rsidRPr="00E959BC" w:rsidRDefault="00D02E80" w:rsidP="00952993">
                      <w:pPr>
                        <w:spacing w:after="0" w:line="240" w:lineRule="auto"/>
                        <w:jc w:val="both"/>
                        <w:rPr>
                          <w:sz w:val="18"/>
                          <w:szCs w:val="18"/>
                          <w14:textOutline w14:w="9525" w14:cap="rnd" w14:cmpd="sng" w14:algn="ctr">
                            <w14:noFill/>
                            <w14:prstDash w14:val="solid"/>
                            <w14:bevel/>
                          </w14:textOutline>
                        </w:rPr>
                      </w:pPr>
                    </w:p>
                  </w:txbxContent>
                </v:textbox>
                <w10:wrap type="square"/>
              </v:shape>
            </w:pict>
          </mc:Fallback>
        </mc:AlternateContent>
      </w:r>
      <w:proofErr w:type="gramStart"/>
      <w:r w:rsidR="00E034AD" w:rsidRPr="00952993">
        <w:rPr>
          <w:rFonts w:asciiTheme="majorHAnsi" w:hAnsiTheme="majorHAnsi" w:cstheme="majorHAnsi"/>
          <w:lang w:val="en-GB"/>
        </w:rPr>
        <w:t>MANS</w:t>
      </w:r>
      <w:proofErr w:type="gramEnd"/>
      <w:r w:rsidR="00E034AD" w:rsidRPr="00952993">
        <w:rPr>
          <w:rFonts w:asciiTheme="majorHAnsi" w:hAnsiTheme="majorHAnsi" w:cstheme="majorHAnsi"/>
          <w:lang w:val="en-GB"/>
        </w:rPr>
        <w:t xml:space="preserve"> </w:t>
      </w:r>
      <w:r w:rsidR="00054AA8" w:rsidRPr="00952993">
        <w:rPr>
          <w:rFonts w:asciiTheme="majorHAnsi" w:hAnsiTheme="majorHAnsi" w:cstheme="majorHAnsi"/>
          <w:lang w:val="en-GB"/>
        </w:rPr>
        <w:t xml:space="preserve">then </w:t>
      </w:r>
      <w:r w:rsidR="00E034AD" w:rsidRPr="00952993">
        <w:rPr>
          <w:rFonts w:asciiTheme="majorHAnsi" w:hAnsiTheme="majorHAnsi" w:cstheme="majorHAnsi"/>
          <w:lang w:val="en-GB"/>
        </w:rPr>
        <w:t xml:space="preserve">asked the umbrella inspection institution for information </w:t>
      </w:r>
      <w:r w:rsidR="00054AA8" w:rsidRPr="00952993">
        <w:rPr>
          <w:rFonts w:asciiTheme="majorHAnsi" w:hAnsiTheme="majorHAnsi" w:cstheme="majorHAnsi"/>
          <w:lang w:val="en-GB"/>
        </w:rPr>
        <w:t>on:</w:t>
      </w:r>
    </w:p>
    <w:p w:rsidR="00C67434" w:rsidRPr="00952993" w:rsidRDefault="00C67434" w:rsidP="00D02E80">
      <w:pPr>
        <w:spacing w:after="0" w:line="240" w:lineRule="auto"/>
        <w:jc w:val="both"/>
        <w:rPr>
          <w:rFonts w:asciiTheme="majorHAnsi" w:hAnsiTheme="majorHAnsi" w:cstheme="majorHAnsi"/>
          <w:lang w:val="en-GB"/>
        </w:rPr>
      </w:pPr>
    </w:p>
    <w:p w:rsidR="00C67434" w:rsidRPr="00952993" w:rsidRDefault="00054AA8" w:rsidP="00054AA8">
      <w:pPr>
        <w:pStyle w:val="ListParagraph"/>
        <w:numPr>
          <w:ilvl w:val="0"/>
          <w:numId w:val="4"/>
        </w:num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the total number of conducted inspections of the construction site of the Bar - </w:t>
      </w:r>
      <w:proofErr w:type="spellStart"/>
      <w:r w:rsidRPr="00952993">
        <w:rPr>
          <w:rFonts w:asciiTheme="majorHAnsi" w:hAnsiTheme="majorHAnsi" w:cstheme="majorHAnsi"/>
          <w:lang w:val="en-GB"/>
        </w:rPr>
        <w:t>Boljare</w:t>
      </w:r>
      <w:proofErr w:type="spellEnd"/>
      <w:r w:rsidRPr="00952993">
        <w:rPr>
          <w:rFonts w:asciiTheme="majorHAnsi" w:hAnsiTheme="majorHAnsi" w:cstheme="majorHAnsi"/>
          <w:lang w:val="en-GB"/>
        </w:rPr>
        <w:t xml:space="preserve"> highway by the Department for Environmental Inspection</w:t>
      </w:r>
    </w:p>
    <w:p w:rsidR="00C67434" w:rsidRPr="00952993" w:rsidRDefault="00054AA8" w:rsidP="00054AA8">
      <w:pPr>
        <w:pStyle w:val="ListParagraph"/>
        <w:numPr>
          <w:ilvl w:val="0"/>
          <w:numId w:val="4"/>
        </w:numPr>
        <w:rPr>
          <w:rFonts w:asciiTheme="majorHAnsi" w:hAnsiTheme="majorHAnsi" w:cstheme="majorHAnsi"/>
          <w:lang w:val="en-GB"/>
        </w:rPr>
      </w:pPr>
      <w:r w:rsidRPr="00952993">
        <w:rPr>
          <w:rFonts w:asciiTheme="majorHAnsi" w:hAnsiTheme="majorHAnsi" w:cstheme="majorHAnsi"/>
          <w:lang w:val="en-GB"/>
        </w:rPr>
        <w:t>the total number of fines imposed by the Department</w:t>
      </w:r>
    </w:p>
    <w:p w:rsidR="00C67434" w:rsidRPr="00952993" w:rsidRDefault="00054AA8" w:rsidP="00054AA8">
      <w:pPr>
        <w:pStyle w:val="ListParagraph"/>
        <w:numPr>
          <w:ilvl w:val="0"/>
          <w:numId w:val="4"/>
        </w:numPr>
        <w:spacing w:after="0" w:line="240" w:lineRule="auto"/>
        <w:jc w:val="both"/>
        <w:rPr>
          <w:rFonts w:asciiTheme="majorHAnsi" w:hAnsiTheme="majorHAnsi" w:cstheme="majorHAnsi"/>
          <w:lang w:val="en-GB"/>
        </w:rPr>
      </w:pPr>
      <w:proofErr w:type="gramStart"/>
      <w:r w:rsidRPr="00952993">
        <w:rPr>
          <w:rFonts w:asciiTheme="majorHAnsi" w:hAnsiTheme="majorHAnsi" w:cstheme="majorHAnsi"/>
          <w:lang w:val="en-GB"/>
        </w:rPr>
        <w:t>the</w:t>
      </w:r>
      <w:proofErr w:type="gramEnd"/>
      <w:r w:rsidRPr="00952993">
        <w:rPr>
          <w:rFonts w:asciiTheme="majorHAnsi" w:hAnsiTheme="majorHAnsi" w:cstheme="majorHAnsi"/>
          <w:lang w:val="en-GB"/>
        </w:rPr>
        <w:t xml:space="preserve"> total amount of money in which the fines were imposed</w:t>
      </w:r>
      <w:r w:rsidR="00C67434" w:rsidRPr="00952993">
        <w:rPr>
          <w:rFonts w:asciiTheme="majorHAnsi" w:hAnsiTheme="majorHAnsi" w:cstheme="majorHAnsi"/>
          <w:lang w:val="en-GB"/>
        </w:rPr>
        <w:t>.</w:t>
      </w:r>
    </w:p>
    <w:p w:rsidR="00C67434" w:rsidRPr="00952993" w:rsidRDefault="00C67434" w:rsidP="00C67434">
      <w:pPr>
        <w:spacing w:after="0" w:line="240" w:lineRule="auto"/>
        <w:jc w:val="both"/>
        <w:rPr>
          <w:rFonts w:asciiTheme="majorHAnsi" w:hAnsiTheme="majorHAnsi" w:cstheme="majorHAnsi"/>
          <w:lang w:val="en-GB"/>
        </w:rPr>
      </w:pPr>
    </w:p>
    <w:p w:rsidR="001C7838" w:rsidRPr="00952993" w:rsidRDefault="00253FBA" w:rsidP="00D02E80">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In its response, after ten days, the Directorate for Inspection Affairs provided </w:t>
      </w:r>
      <w:proofErr w:type="gramStart"/>
      <w:r w:rsidRPr="00952993">
        <w:rPr>
          <w:rFonts w:asciiTheme="majorHAnsi" w:hAnsiTheme="majorHAnsi" w:cstheme="majorHAnsi"/>
          <w:lang w:val="en-GB"/>
        </w:rPr>
        <w:t>MANS</w:t>
      </w:r>
      <w:proofErr w:type="gramEnd"/>
      <w:r w:rsidRPr="00952993">
        <w:rPr>
          <w:rFonts w:asciiTheme="majorHAnsi" w:hAnsiTheme="majorHAnsi" w:cstheme="majorHAnsi"/>
          <w:lang w:val="en-GB"/>
        </w:rPr>
        <w:t xml:space="preserve"> with the following information</w:t>
      </w:r>
      <w:r w:rsidR="00B25479" w:rsidRPr="00952993">
        <w:rPr>
          <w:rFonts w:asciiTheme="majorHAnsi" w:hAnsiTheme="majorHAnsi" w:cstheme="majorHAnsi"/>
          <w:lang w:val="en-GB"/>
        </w:rPr>
        <w:t xml:space="preserve">: </w:t>
      </w:r>
    </w:p>
    <w:p w:rsidR="00B25479" w:rsidRPr="00952993" w:rsidRDefault="00B25479" w:rsidP="00D02E80">
      <w:pPr>
        <w:spacing w:after="0" w:line="240" w:lineRule="auto"/>
        <w:jc w:val="both"/>
        <w:rPr>
          <w:rFonts w:asciiTheme="majorHAnsi" w:hAnsiTheme="majorHAnsi" w:cstheme="majorHAnsi"/>
          <w:lang w:val="en-GB"/>
        </w:rPr>
      </w:pPr>
    </w:p>
    <w:p w:rsidR="00B25479" w:rsidRPr="00952993" w:rsidRDefault="00253FBA" w:rsidP="00253FBA">
      <w:pPr>
        <w:pStyle w:val="ListParagraph"/>
        <w:numPr>
          <w:ilvl w:val="0"/>
          <w:numId w:val="5"/>
        </w:numPr>
        <w:spacing w:after="0" w:line="240" w:lineRule="auto"/>
        <w:jc w:val="both"/>
        <w:rPr>
          <w:rFonts w:asciiTheme="majorHAnsi" w:hAnsiTheme="majorHAnsi" w:cstheme="majorHAnsi"/>
          <w:lang w:val="en-GB"/>
        </w:rPr>
      </w:pPr>
      <w:r w:rsidRPr="00952993">
        <w:rPr>
          <w:rFonts w:asciiTheme="majorHAnsi" w:hAnsiTheme="majorHAnsi" w:cstheme="majorHAnsi"/>
          <w:lang w:val="en-GB"/>
        </w:rPr>
        <w:t>a total of 68 controls were conducted by the Department for Environmental Inspection</w:t>
      </w:r>
    </w:p>
    <w:p w:rsidR="00253FBA" w:rsidRPr="00952993" w:rsidRDefault="00253FBA" w:rsidP="00253FBA">
      <w:pPr>
        <w:pStyle w:val="ListParagraph"/>
        <w:numPr>
          <w:ilvl w:val="0"/>
          <w:numId w:val="5"/>
        </w:numPr>
        <w:spacing w:after="0" w:line="240" w:lineRule="auto"/>
        <w:jc w:val="both"/>
        <w:rPr>
          <w:rFonts w:asciiTheme="majorHAnsi" w:hAnsiTheme="majorHAnsi" w:cstheme="majorHAnsi"/>
          <w:lang w:val="en-GB"/>
        </w:rPr>
      </w:pPr>
      <w:r w:rsidRPr="00952993">
        <w:rPr>
          <w:rFonts w:asciiTheme="majorHAnsi" w:hAnsiTheme="majorHAnsi" w:cstheme="majorHAnsi"/>
          <w:lang w:val="en-GB"/>
        </w:rPr>
        <w:t>two fines were imposed - of €3,000 and €3,500</w:t>
      </w:r>
    </w:p>
    <w:p w:rsidR="00B25479" w:rsidRPr="00952993" w:rsidRDefault="00253FBA" w:rsidP="00253FBA">
      <w:pPr>
        <w:pStyle w:val="ListParagraph"/>
        <w:numPr>
          <w:ilvl w:val="0"/>
          <w:numId w:val="5"/>
        </w:numPr>
        <w:spacing w:after="0" w:line="240" w:lineRule="auto"/>
        <w:jc w:val="both"/>
        <w:rPr>
          <w:rFonts w:asciiTheme="majorHAnsi" w:hAnsiTheme="majorHAnsi" w:cstheme="majorHAnsi"/>
          <w:lang w:val="en-GB"/>
        </w:rPr>
      </w:pPr>
      <w:proofErr w:type="gramStart"/>
      <w:r w:rsidRPr="00952993">
        <w:rPr>
          <w:rFonts w:asciiTheme="majorHAnsi" w:hAnsiTheme="majorHAnsi" w:cstheme="majorHAnsi"/>
          <w:lang w:val="en-GB"/>
        </w:rPr>
        <w:t>17</w:t>
      </w:r>
      <w:proofErr w:type="gramEnd"/>
      <w:r w:rsidRPr="00952993">
        <w:rPr>
          <w:rFonts w:asciiTheme="majorHAnsi" w:hAnsiTheme="majorHAnsi" w:cstheme="majorHAnsi"/>
          <w:lang w:val="en-GB"/>
        </w:rPr>
        <w:t xml:space="preserve"> requests for initiating </w:t>
      </w:r>
      <w:r w:rsidR="004C4E30" w:rsidRPr="00952993">
        <w:rPr>
          <w:rFonts w:asciiTheme="majorHAnsi" w:hAnsiTheme="majorHAnsi" w:cstheme="majorHAnsi"/>
          <w:lang w:val="en-GB"/>
        </w:rPr>
        <w:t>misdemeanour</w:t>
      </w:r>
      <w:r w:rsidRPr="00952993">
        <w:rPr>
          <w:rFonts w:asciiTheme="majorHAnsi" w:hAnsiTheme="majorHAnsi" w:cstheme="majorHAnsi"/>
          <w:lang w:val="en-GB"/>
        </w:rPr>
        <w:t xml:space="preserve"> proceedings were submitted to the competent courts</w:t>
      </w:r>
      <w:r w:rsidR="00B25479" w:rsidRPr="00952993">
        <w:rPr>
          <w:rFonts w:asciiTheme="majorHAnsi" w:hAnsiTheme="majorHAnsi" w:cstheme="majorHAnsi"/>
          <w:lang w:val="en-GB"/>
        </w:rPr>
        <w:t>.</w:t>
      </w:r>
      <w:r w:rsidR="00B25479" w:rsidRPr="00952993">
        <w:rPr>
          <w:rStyle w:val="FootnoteReference"/>
          <w:rFonts w:asciiTheme="majorHAnsi" w:hAnsiTheme="majorHAnsi" w:cstheme="majorHAnsi"/>
          <w:lang w:val="en-GB"/>
        </w:rPr>
        <w:footnoteReference w:id="3"/>
      </w:r>
      <w:r w:rsidR="00B25479" w:rsidRPr="00952993">
        <w:rPr>
          <w:rFonts w:asciiTheme="majorHAnsi" w:hAnsiTheme="majorHAnsi" w:cstheme="majorHAnsi"/>
          <w:lang w:val="en-GB"/>
        </w:rPr>
        <w:t xml:space="preserve"> </w:t>
      </w:r>
    </w:p>
    <w:p w:rsidR="00B25479" w:rsidRPr="00952993" w:rsidRDefault="00B25479" w:rsidP="00AA42C8">
      <w:pPr>
        <w:spacing w:after="0" w:line="240" w:lineRule="auto"/>
        <w:jc w:val="center"/>
        <w:rPr>
          <w:rFonts w:asciiTheme="majorHAnsi" w:hAnsiTheme="majorHAnsi" w:cstheme="majorHAnsi"/>
          <w:lang w:val="en-GB"/>
        </w:rPr>
      </w:pPr>
    </w:p>
    <w:p w:rsidR="00B25479" w:rsidRPr="00952993" w:rsidRDefault="00253FBA" w:rsidP="00600102">
      <w:pPr>
        <w:spacing w:after="0" w:line="240" w:lineRule="auto"/>
        <w:jc w:val="center"/>
        <w:rPr>
          <w:rFonts w:asciiTheme="majorHAnsi" w:hAnsiTheme="majorHAnsi" w:cstheme="majorHAnsi"/>
          <w:sz w:val="20"/>
          <w:lang w:val="en-GB"/>
        </w:rPr>
      </w:pPr>
      <w:r w:rsidRPr="00952993">
        <w:rPr>
          <w:rFonts w:asciiTheme="majorHAnsi" w:hAnsiTheme="majorHAnsi" w:cstheme="majorHAnsi"/>
          <w:sz w:val="20"/>
          <w:lang w:val="en-GB"/>
        </w:rPr>
        <w:t xml:space="preserve">Photo 1: Part of the decision of the Directorate for Inspection Affairs, which refers to actions of the </w:t>
      </w:r>
      <w:r w:rsidR="004C4E30" w:rsidRPr="00952993">
        <w:rPr>
          <w:rFonts w:asciiTheme="majorHAnsi" w:hAnsiTheme="majorHAnsi" w:cstheme="majorHAnsi"/>
          <w:sz w:val="20"/>
          <w:lang w:val="en-GB"/>
        </w:rPr>
        <w:t>misdemeanour</w:t>
      </w:r>
      <w:r w:rsidR="0050653F" w:rsidRPr="00952993">
        <w:rPr>
          <w:rFonts w:asciiTheme="majorHAnsi" w:hAnsiTheme="majorHAnsi" w:cstheme="majorHAnsi"/>
          <w:sz w:val="20"/>
          <w:lang w:val="en-GB"/>
        </w:rPr>
        <w:t xml:space="preserve"> courts</w:t>
      </w:r>
      <w:r w:rsidRPr="00952993">
        <w:rPr>
          <w:rFonts w:asciiTheme="majorHAnsi" w:hAnsiTheme="majorHAnsi" w:cstheme="majorHAnsi"/>
          <w:sz w:val="20"/>
          <w:lang w:val="en-GB"/>
        </w:rPr>
        <w:t xml:space="preserve"> after the requests sent by the Department for </w:t>
      </w:r>
      <w:r w:rsidR="0050653F" w:rsidRPr="00952993">
        <w:rPr>
          <w:rFonts w:asciiTheme="majorHAnsi" w:hAnsiTheme="majorHAnsi" w:cstheme="majorHAnsi"/>
          <w:sz w:val="20"/>
          <w:lang w:val="en-GB"/>
        </w:rPr>
        <w:t>Environmental</w:t>
      </w:r>
      <w:r w:rsidRPr="00952993">
        <w:rPr>
          <w:rFonts w:asciiTheme="majorHAnsi" w:hAnsiTheme="majorHAnsi" w:cstheme="majorHAnsi"/>
          <w:sz w:val="20"/>
          <w:lang w:val="en-GB"/>
        </w:rPr>
        <w:t xml:space="preserve"> Inspection</w:t>
      </w:r>
    </w:p>
    <w:p w:rsidR="00600102" w:rsidRPr="00952993" w:rsidRDefault="00600102" w:rsidP="00600102">
      <w:pPr>
        <w:spacing w:after="0" w:line="240" w:lineRule="auto"/>
        <w:jc w:val="center"/>
        <w:rPr>
          <w:rFonts w:asciiTheme="majorHAnsi" w:hAnsiTheme="majorHAnsi" w:cstheme="majorHAnsi"/>
          <w:sz w:val="20"/>
          <w:lang w:val="en-GB"/>
        </w:rPr>
      </w:pPr>
      <w:r w:rsidRPr="00952993">
        <w:rPr>
          <w:rFonts w:asciiTheme="majorHAnsi" w:hAnsiTheme="majorHAnsi" w:cstheme="majorHAnsi"/>
          <w:noProof/>
          <w:sz w:val="20"/>
          <w:lang w:val="en-US"/>
        </w:rPr>
        <w:drawing>
          <wp:inline distT="0" distB="0" distL="0" distR="0">
            <wp:extent cx="3703320" cy="426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png"/>
                    <pic:cNvPicPr/>
                  </pic:nvPicPr>
                  <pic:blipFill>
                    <a:blip r:embed="rId11">
                      <a:extLst>
                        <a:ext uri="{28A0092B-C50C-407E-A947-70E740481C1C}">
                          <a14:useLocalDpi xmlns:a14="http://schemas.microsoft.com/office/drawing/2010/main" val="0"/>
                        </a:ext>
                      </a:extLst>
                    </a:blip>
                    <a:stretch>
                      <a:fillRect/>
                    </a:stretch>
                  </pic:blipFill>
                  <pic:spPr>
                    <a:xfrm>
                      <a:off x="0" y="0"/>
                      <a:ext cx="3810365" cy="438407"/>
                    </a:xfrm>
                    <a:prstGeom prst="rect">
                      <a:avLst/>
                    </a:prstGeom>
                  </pic:spPr>
                </pic:pic>
              </a:graphicData>
            </a:graphic>
          </wp:inline>
        </w:drawing>
      </w:r>
    </w:p>
    <w:p w:rsidR="00B25479" w:rsidRPr="00952993" w:rsidRDefault="00B25479" w:rsidP="00B25479">
      <w:pPr>
        <w:spacing w:after="0" w:line="240" w:lineRule="auto"/>
        <w:jc w:val="both"/>
        <w:rPr>
          <w:rFonts w:asciiTheme="majorHAnsi" w:hAnsiTheme="majorHAnsi" w:cstheme="majorHAnsi"/>
          <w:lang w:val="en-GB"/>
        </w:rPr>
      </w:pPr>
    </w:p>
    <w:p w:rsidR="00600102" w:rsidRPr="00952993" w:rsidRDefault="0050653F"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Let us note that this is a four-year period, since the construction of the priority section of the highway began in May 2015. On average, the Department for Environmental Inspection visited the highway construction site 17 times a year.</w:t>
      </w:r>
    </w:p>
    <w:p w:rsidR="00600102" w:rsidRPr="00952993" w:rsidRDefault="00600102" w:rsidP="00B25479">
      <w:pPr>
        <w:spacing w:after="0" w:line="240" w:lineRule="auto"/>
        <w:jc w:val="both"/>
        <w:rPr>
          <w:rFonts w:asciiTheme="majorHAnsi" w:hAnsiTheme="majorHAnsi" w:cstheme="majorHAnsi"/>
          <w:lang w:val="en-GB"/>
        </w:rPr>
      </w:pPr>
    </w:p>
    <w:p w:rsidR="008D4B5B" w:rsidRPr="00952993" w:rsidRDefault="008D4B5B" w:rsidP="00B25479">
      <w:pPr>
        <w:spacing w:after="0" w:line="240" w:lineRule="auto"/>
        <w:jc w:val="both"/>
        <w:rPr>
          <w:rFonts w:asciiTheme="majorHAnsi" w:hAnsiTheme="majorHAnsi" w:cstheme="majorHAnsi"/>
          <w:lang w:val="en-GB"/>
        </w:rPr>
      </w:pPr>
    </w:p>
    <w:p w:rsidR="008D4B5B" w:rsidRPr="00952993" w:rsidRDefault="008D4B5B" w:rsidP="00B25479">
      <w:pPr>
        <w:spacing w:after="0" w:line="240" w:lineRule="auto"/>
        <w:jc w:val="both"/>
        <w:rPr>
          <w:rFonts w:asciiTheme="majorHAnsi" w:hAnsiTheme="majorHAnsi" w:cstheme="majorHAnsi"/>
          <w:lang w:val="en-GB"/>
        </w:rPr>
      </w:pPr>
    </w:p>
    <w:p w:rsidR="008D4B5B" w:rsidRPr="00952993" w:rsidRDefault="008D4B5B"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lastRenderedPageBreak/>
        <w:t>For the sake of comparison, according to the data of the Directorate for Inspection Affairs in the period from 2015 to 2019</w:t>
      </w:r>
      <w:r w:rsidR="00AF6B52" w:rsidRPr="00952993">
        <w:rPr>
          <w:rFonts w:asciiTheme="majorHAnsi" w:hAnsiTheme="majorHAnsi" w:cstheme="majorHAnsi"/>
          <w:lang w:val="en-GB"/>
        </w:rPr>
        <w:t>, the Department for Environmental Inspection</w:t>
      </w:r>
      <w:r w:rsidRPr="00952993">
        <w:rPr>
          <w:rFonts w:asciiTheme="majorHAnsi" w:hAnsiTheme="majorHAnsi" w:cstheme="majorHAnsi"/>
          <w:lang w:val="en-GB"/>
        </w:rPr>
        <w:t xml:space="preserve"> performed 9242 inspections.</w:t>
      </w:r>
      <w:r w:rsidR="00AF6B52" w:rsidRPr="00952993">
        <w:rPr>
          <w:rStyle w:val="FootnoteReference"/>
          <w:rFonts w:asciiTheme="majorHAnsi" w:hAnsiTheme="majorHAnsi" w:cstheme="majorHAnsi"/>
          <w:lang w:val="en-GB"/>
        </w:rPr>
        <w:footnoteReference w:id="4"/>
      </w:r>
    </w:p>
    <w:p w:rsidR="008D4B5B" w:rsidRPr="00952993" w:rsidRDefault="008D4B5B" w:rsidP="00B25479">
      <w:pPr>
        <w:spacing w:after="0" w:line="240" w:lineRule="auto"/>
        <w:jc w:val="both"/>
        <w:rPr>
          <w:rFonts w:asciiTheme="majorHAnsi" w:hAnsiTheme="majorHAnsi" w:cstheme="majorHAnsi"/>
          <w:lang w:val="en-GB"/>
        </w:rPr>
      </w:pPr>
    </w:p>
    <w:p w:rsidR="00600102" w:rsidRPr="00952993" w:rsidRDefault="00AF6B52"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These data indicate that the environmental inspection, headed by </w:t>
      </w:r>
      <w:proofErr w:type="spellStart"/>
      <w:r w:rsidRPr="00952993">
        <w:rPr>
          <w:rFonts w:asciiTheme="majorHAnsi" w:hAnsiTheme="majorHAnsi" w:cstheme="majorHAnsi"/>
          <w:lang w:val="en-GB"/>
        </w:rPr>
        <w:t>Veselinka</w:t>
      </w:r>
      <w:proofErr w:type="spellEnd"/>
      <w:r w:rsidRPr="00952993">
        <w:rPr>
          <w:rFonts w:asciiTheme="majorHAnsi" w:hAnsiTheme="majorHAnsi" w:cstheme="majorHAnsi"/>
          <w:lang w:val="en-GB"/>
        </w:rPr>
        <w:t xml:space="preserve"> </w:t>
      </w:r>
      <w:proofErr w:type="spellStart"/>
      <w:r w:rsidRPr="00952993">
        <w:rPr>
          <w:rFonts w:asciiTheme="majorHAnsi" w:hAnsiTheme="majorHAnsi" w:cstheme="majorHAnsi"/>
          <w:lang w:val="en-GB"/>
        </w:rPr>
        <w:t>Zarubica</w:t>
      </w:r>
      <w:proofErr w:type="spellEnd"/>
      <w:r w:rsidRPr="00952993">
        <w:rPr>
          <w:rFonts w:asciiTheme="majorHAnsi" w:hAnsiTheme="majorHAnsi" w:cstheme="majorHAnsi"/>
          <w:lang w:val="en-GB"/>
        </w:rPr>
        <w:t xml:space="preserve"> - Chief Environmental Inspector, visited the highway construction site one </w:t>
      </w:r>
      <w:r w:rsidR="00231F2A" w:rsidRPr="00952993">
        <w:rPr>
          <w:rFonts w:asciiTheme="majorHAnsi" w:hAnsiTheme="majorHAnsi" w:cstheme="majorHAnsi"/>
          <w:lang w:val="en-GB"/>
        </w:rPr>
        <w:t xml:space="preserve">out </w:t>
      </w:r>
      <w:r w:rsidRPr="00952993">
        <w:rPr>
          <w:rFonts w:asciiTheme="majorHAnsi" w:hAnsiTheme="majorHAnsi" w:cstheme="majorHAnsi"/>
          <w:lang w:val="en-GB"/>
        </w:rPr>
        <w:t>of 136 times, or that the share of supervision over the said construction site represents only 0.74% of the total environ</w:t>
      </w:r>
      <w:r w:rsidR="00231F2A" w:rsidRPr="00952993">
        <w:rPr>
          <w:rFonts w:asciiTheme="majorHAnsi" w:hAnsiTheme="majorHAnsi" w:cstheme="majorHAnsi"/>
          <w:lang w:val="en-GB"/>
        </w:rPr>
        <w:t>mental inspection in Montenegro</w:t>
      </w:r>
      <w:r w:rsidR="00600102" w:rsidRPr="00952993">
        <w:rPr>
          <w:rFonts w:asciiTheme="majorHAnsi" w:hAnsiTheme="majorHAnsi" w:cstheme="majorHAnsi"/>
          <w:lang w:val="en-GB"/>
        </w:rPr>
        <w:t>.</w:t>
      </w:r>
      <w:r w:rsidR="00027CD1" w:rsidRPr="00952993">
        <w:rPr>
          <w:rStyle w:val="FootnoteReference"/>
          <w:rFonts w:asciiTheme="majorHAnsi" w:hAnsiTheme="majorHAnsi" w:cstheme="majorHAnsi"/>
          <w:lang w:val="en-GB"/>
        </w:rPr>
        <w:footnoteReference w:id="5"/>
      </w:r>
    </w:p>
    <w:p w:rsidR="00600102" w:rsidRPr="00952993" w:rsidRDefault="00600102" w:rsidP="00B25479">
      <w:pPr>
        <w:spacing w:after="0" w:line="240" w:lineRule="auto"/>
        <w:jc w:val="both"/>
        <w:rPr>
          <w:rFonts w:asciiTheme="majorHAnsi" w:hAnsiTheme="majorHAnsi" w:cstheme="majorHAnsi"/>
          <w:lang w:val="en-GB"/>
        </w:rPr>
      </w:pPr>
    </w:p>
    <w:p w:rsidR="00600102" w:rsidRPr="00952993" w:rsidRDefault="00231F2A"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This data becomes especially problematic if taken into account that this is the largest and most expensive project built in Montenegro so far, which especially endangers the habitat and environment of the Tara River, protected both nationally and internationally. In addition, the construction site of the highway directly leans on the </w:t>
      </w:r>
      <w:proofErr w:type="spellStart"/>
      <w:r w:rsidRPr="00952993">
        <w:rPr>
          <w:rFonts w:asciiTheme="majorHAnsi" w:hAnsiTheme="majorHAnsi" w:cstheme="majorHAnsi"/>
          <w:lang w:val="en-GB"/>
        </w:rPr>
        <w:t>Morača</w:t>
      </w:r>
      <w:proofErr w:type="spellEnd"/>
      <w:r w:rsidRPr="00952993">
        <w:rPr>
          <w:lang w:val="en-GB"/>
        </w:rPr>
        <w:t xml:space="preserve"> </w:t>
      </w:r>
      <w:r w:rsidRPr="00952993">
        <w:rPr>
          <w:rFonts w:asciiTheme="majorHAnsi" w:hAnsiTheme="majorHAnsi" w:cstheme="majorHAnsi"/>
          <w:lang w:val="en-GB"/>
        </w:rPr>
        <w:t>River, and indirectly affects its entire surroundings, since there are camps for workers and landfills for the disposal of surplus materials</w:t>
      </w:r>
      <w:r w:rsidR="00FF4C0E" w:rsidRPr="00952993">
        <w:rPr>
          <w:rFonts w:asciiTheme="majorHAnsi" w:hAnsiTheme="majorHAnsi" w:cstheme="majorHAnsi"/>
          <w:lang w:val="en-GB"/>
        </w:rPr>
        <w:t>.</w:t>
      </w:r>
      <w:r w:rsidR="00FF4C0E" w:rsidRPr="00952993">
        <w:rPr>
          <w:rStyle w:val="FootnoteReference"/>
          <w:rFonts w:asciiTheme="majorHAnsi" w:hAnsiTheme="majorHAnsi" w:cstheme="majorHAnsi"/>
          <w:lang w:val="en-GB"/>
        </w:rPr>
        <w:footnoteReference w:id="6"/>
      </w:r>
    </w:p>
    <w:p w:rsidR="00FF4C0E" w:rsidRPr="00952993" w:rsidRDefault="00FF4C0E" w:rsidP="00B25479">
      <w:pPr>
        <w:spacing w:after="0" w:line="240" w:lineRule="auto"/>
        <w:jc w:val="both"/>
        <w:rPr>
          <w:rFonts w:asciiTheme="majorHAnsi" w:hAnsiTheme="majorHAnsi" w:cstheme="majorHAnsi"/>
          <w:lang w:val="en-GB"/>
        </w:rPr>
      </w:pPr>
    </w:p>
    <w:p w:rsidR="00231F2A" w:rsidRPr="00952993" w:rsidRDefault="00231F2A"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In four years, the environmental inspection sent 200 requests to the courts to initiate </w:t>
      </w:r>
      <w:r w:rsidR="004C4E30" w:rsidRPr="00952993">
        <w:rPr>
          <w:rFonts w:asciiTheme="majorHAnsi" w:hAnsiTheme="majorHAnsi" w:cstheme="majorHAnsi"/>
          <w:lang w:val="en-GB"/>
        </w:rPr>
        <w:t>misdemeanour</w:t>
      </w:r>
      <w:r w:rsidRPr="00952993">
        <w:rPr>
          <w:rFonts w:asciiTheme="majorHAnsi" w:hAnsiTheme="majorHAnsi" w:cstheme="majorHAnsi"/>
          <w:lang w:val="en-GB"/>
        </w:rPr>
        <w:t xml:space="preserve"> proceedings, of which only 17 related to irregularities in </w:t>
      </w:r>
      <w:r w:rsidR="003B34B9" w:rsidRPr="00952993">
        <w:rPr>
          <w:rFonts w:asciiTheme="majorHAnsi" w:hAnsiTheme="majorHAnsi" w:cstheme="majorHAnsi"/>
          <w:lang w:val="en-GB"/>
        </w:rPr>
        <w:t>performing</w:t>
      </w:r>
      <w:r w:rsidRPr="00952993">
        <w:rPr>
          <w:rFonts w:asciiTheme="majorHAnsi" w:hAnsiTheme="majorHAnsi" w:cstheme="majorHAnsi"/>
          <w:lang w:val="en-GB"/>
        </w:rPr>
        <w:t xml:space="preserve"> of works on the highway project.</w:t>
      </w:r>
      <w:r w:rsidR="003B34B9" w:rsidRPr="00952993">
        <w:rPr>
          <w:rStyle w:val="FootnoteReference"/>
          <w:rFonts w:asciiTheme="majorHAnsi" w:hAnsiTheme="majorHAnsi" w:cstheme="majorHAnsi"/>
          <w:lang w:val="en-GB"/>
        </w:rPr>
        <w:footnoteReference w:id="7"/>
      </w:r>
      <w:r w:rsidRPr="00952993">
        <w:rPr>
          <w:rFonts w:asciiTheme="majorHAnsi" w:hAnsiTheme="majorHAnsi" w:cstheme="majorHAnsi"/>
          <w:lang w:val="en-GB"/>
        </w:rPr>
        <w:t xml:space="preserve"> Data on the two fines imposed, of </w:t>
      </w:r>
      <w:r w:rsidR="003B34B9" w:rsidRPr="00952993">
        <w:rPr>
          <w:rFonts w:asciiTheme="majorHAnsi" w:hAnsiTheme="majorHAnsi" w:cstheme="majorHAnsi"/>
          <w:lang w:val="en-GB"/>
        </w:rPr>
        <w:t>€</w:t>
      </w:r>
      <w:r w:rsidRPr="00952993">
        <w:rPr>
          <w:rFonts w:asciiTheme="majorHAnsi" w:hAnsiTheme="majorHAnsi" w:cstheme="majorHAnsi"/>
          <w:lang w:val="en-GB"/>
        </w:rPr>
        <w:t xml:space="preserve">3,000 and </w:t>
      </w:r>
      <w:r w:rsidR="003B34B9" w:rsidRPr="00952993">
        <w:rPr>
          <w:rFonts w:asciiTheme="majorHAnsi" w:hAnsiTheme="majorHAnsi" w:cstheme="majorHAnsi"/>
          <w:lang w:val="en-GB"/>
        </w:rPr>
        <w:t>€</w:t>
      </w:r>
      <w:r w:rsidRPr="00952993">
        <w:rPr>
          <w:rFonts w:asciiTheme="majorHAnsi" w:hAnsiTheme="majorHAnsi" w:cstheme="majorHAnsi"/>
          <w:lang w:val="en-GB"/>
        </w:rPr>
        <w:t xml:space="preserve">3,500, are </w:t>
      </w:r>
      <w:r w:rsidR="003B34B9" w:rsidRPr="00952993">
        <w:rPr>
          <w:rFonts w:asciiTheme="majorHAnsi" w:hAnsiTheme="majorHAnsi" w:cstheme="majorHAnsi"/>
          <w:lang w:val="en-GB"/>
        </w:rPr>
        <w:t>un</w:t>
      </w:r>
      <w:r w:rsidRPr="00952993">
        <w:rPr>
          <w:rFonts w:asciiTheme="majorHAnsi" w:hAnsiTheme="majorHAnsi" w:cstheme="majorHAnsi"/>
          <w:lang w:val="en-GB"/>
        </w:rPr>
        <w:t xml:space="preserve">known to the public, because it </w:t>
      </w:r>
      <w:proofErr w:type="gramStart"/>
      <w:r w:rsidRPr="00952993">
        <w:rPr>
          <w:rFonts w:asciiTheme="majorHAnsi" w:hAnsiTheme="majorHAnsi" w:cstheme="majorHAnsi"/>
          <w:lang w:val="en-GB"/>
        </w:rPr>
        <w:t>has not been announced</w:t>
      </w:r>
      <w:proofErr w:type="gramEnd"/>
      <w:r w:rsidRPr="00952993">
        <w:rPr>
          <w:rFonts w:asciiTheme="majorHAnsi" w:hAnsiTheme="majorHAnsi" w:cstheme="majorHAnsi"/>
          <w:lang w:val="en-GB"/>
        </w:rPr>
        <w:t xml:space="preserve"> who was fined by the environmental inspection in the mentioned amounts</w:t>
      </w:r>
      <w:r w:rsidR="003B34B9" w:rsidRPr="00952993">
        <w:rPr>
          <w:rFonts w:asciiTheme="majorHAnsi" w:hAnsiTheme="majorHAnsi" w:cstheme="majorHAnsi"/>
          <w:lang w:val="en-GB"/>
        </w:rPr>
        <w:t xml:space="preserve"> and what for</w:t>
      </w:r>
      <w:r w:rsidRPr="00952993">
        <w:rPr>
          <w:rFonts w:asciiTheme="majorHAnsi" w:hAnsiTheme="majorHAnsi" w:cstheme="majorHAnsi"/>
          <w:lang w:val="en-GB"/>
        </w:rPr>
        <w:t>.</w:t>
      </w:r>
    </w:p>
    <w:p w:rsidR="000D4818" w:rsidRPr="00952993" w:rsidRDefault="000D4818" w:rsidP="00B25479">
      <w:pPr>
        <w:spacing w:after="0" w:line="240" w:lineRule="auto"/>
        <w:jc w:val="both"/>
        <w:rPr>
          <w:rFonts w:asciiTheme="majorHAnsi" w:hAnsiTheme="majorHAnsi" w:cstheme="majorHAnsi"/>
          <w:lang w:val="en-GB"/>
        </w:rPr>
      </w:pPr>
    </w:p>
    <w:p w:rsidR="00514F94" w:rsidRPr="00952993" w:rsidRDefault="00514F94"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On the other hand, after discovery of devastation of the Tara Riv</w:t>
      </w:r>
      <w:r w:rsidR="007D637C" w:rsidRPr="00952993">
        <w:rPr>
          <w:rFonts w:asciiTheme="majorHAnsi" w:hAnsiTheme="majorHAnsi" w:cstheme="majorHAnsi"/>
          <w:lang w:val="en-GB"/>
        </w:rPr>
        <w:t xml:space="preserve">er at the end of October 2018, </w:t>
      </w:r>
      <w:r w:rsidRPr="00952993">
        <w:rPr>
          <w:rFonts w:asciiTheme="majorHAnsi" w:hAnsiTheme="majorHAnsi" w:cstheme="majorHAnsi"/>
          <w:lang w:val="en-GB"/>
        </w:rPr>
        <w:t xml:space="preserve">NGO MANS sent an initiative to the environmental inspection to conduct </w:t>
      </w:r>
      <w:r w:rsidR="00912757" w:rsidRPr="00952993">
        <w:rPr>
          <w:rFonts w:asciiTheme="majorHAnsi" w:hAnsiTheme="majorHAnsi" w:cstheme="majorHAnsi"/>
          <w:lang w:val="en-GB"/>
        </w:rPr>
        <w:t xml:space="preserve">an inspection, in which it </w:t>
      </w:r>
      <w:proofErr w:type="gramStart"/>
      <w:r w:rsidR="00912757" w:rsidRPr="00952993">
        <w:rPr>
          <w:rFonts w:asciiTheme="majorHAnsi" w:hAnsiTheme="majorHAnsi" w:cstheme="majorHAnsi"/>
          <w:lang w:val="en-GB"/>
        </w:rPr>
        <w:t xml:space="preserve">was </w:t>
      </w:r>
      <w:r w:rsidR="007D637C" w:rsidRPr="00952993">
        <w:rPr>
          <w:rFonts w:asciiTheme="majorHAnsi" w:hAnsiTheme="majorHAnsi" w:cstheme="majorHAnsi"/>
          <w:lang w:val="en-GB"/>
        </w:rPr>
        <w:t>noted</w:t>
      </w:r>
      <w:proofErr w:type="gramEnd"/>
      <w:r w:rsidRPr="00952993">
        <w:rPr>
          <w:rFonts w:asciiTheme="majorHAnsi" w:hAnsiTheme="majorHAnsi" w:cstheme="majorHAnsi"/>
          <w:lang w:val="en-GB"/>
        </w:rPr>
        <w:t xml:space="preserve"> that the riverbed was largely devastated, that the land was damaged and destro</w:t>
      </w:r>
      <w:r w:rsidR="00912757" w:rsidRPr="00952993">
        <w:rPr>
          <w:rFonts w:asciiTheme="majorHAnsi" w:hAnsiTheme="majorHAnsi" w:cstheme="majorHAnsi"/>
          <w:lang w:val="en-GB"/>
        </w:rPr>
        <w:t xml:space="preserve">yed, with endangered flora and fauna </w:t>
      </w:r>
      <w:r w:rsidRPr="00952993">
        <w:rPr>
          <w:rFonts w:asciiTheme="majorHAnsi" w:hAnsiTheme="majorHAnsi" w:cstheme="majorHAnsi"/>
          <w:lang w:val="en-GB"/>
        </w:rPr>
        <w:t>of the river.</w:t>
      </w:r>
      <w:r w:rsidR="00912757" w:rsidRPr="00952993">
        <w:rPr>
          <w:rStyle w:val="FootnoteReference"/>
          <w:rFonts w:asciiTheme="majorHAnsi" w:hAnsiTheme="majorHAnsi" w:cstheme="majorHAnsi"/>
          <w:lang w:val="en-GB"/>
        </w:rPr>
        <w:footnoteReference w:id="8"/>
      </w:r>
    </w:p>
    <w:p w:rsidR="00514F94" w:rsidRPr="00952993" w:rsidRDefault="00514F94" w:rsidP="00B25479">
      <w:pPr>
        <w:spacing w:after="0" w:line="240" w:lineRule="auto"/>
        <w:jc w:val="both"/>
        <w:rPr>
          <w:rFonts w:asciiTheme="majorHAnsi" w:hAnsiTheme="majorHAnsi" w:cstheme="majorHAnsi"/>
          <w:lang w:val="en-GB"/>
        </w:rPr>
      </w:pPr>
    </w:p>
    <w:p w:rsidR="001B13F3" w:rsidRPr="00952993" w:rsidRDefault="00912757" w:rsidP="00B25479">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In her answer from November 30, 2018, Inspector </w:t>
      </w:r>
      <w:proofErr w:type="spellStart"/>
      <w:r w:rsidRPr="00952993">
        <w:rPr>
          <w:rFonts w:asciiTheme="majorHAnsi" w:hAnsiTheme="majorHAnsi" w:cstheme="majorHAnsi"/>
          <w:lang w:val="en-GB"/>
        </w:rPr>
        <w:t>Zarubica</w:t>
      </w:r>
      <w:proofErr w:type="spellEnd"/>
      <w:r w:rsidRPr="00952993">
        <w:rPr>
          <w:rFonts w:asciiTheme="majorHAnsi" w:hAnsiTheme="majorHAnsi" w:cstheme="majorHAnsi"/>
          <w:lang w:val="en-GB"/>
        </w:rPr>
        <w:t xml:space="preserve"> states that the environmental inspection has been carrying out intensified inspection supervision of works since the beginning of the project implementation, which </w:t>
      </w:r>
      <w:proofErr w:type="gramStart"/>
      <w:r w:rsidRPr="00952993">
        <w:rPr>
          <w:rFonts w:asciiTheme="majorHAnsi" w:hAnsiTheme="majorHAnsi" w:cstheme="majorHAnsi"/>
          <w:lang w:val="en-GB"/>
        </w:rPr>
        <w:t xml:space="preserve">is </w:t>
      </w:r>
      <w:r w:rsidR="00160934" w:rsidRPr="00952993">
        <w:rPr>
          <w:rFonts w:asciiTheme="majorHAnsi" w:hAnsiTheme="majorHAnsi" w:cstheme="majorHAnsi"/>
          <w:lang w:val="en-GB"/>
        </w:rPr>
        <w:t>d</w:t>
      </w:r>
      <w:r w:rsidRPr="00952993">
        <w:rPr>
          <w:rFonts w:asciiTheme="majorHAnsi" w:hAnsiTheme="majorHAnsi" w:cstheme="majorHAnsi"/>
          <w:lang w:val="en-GB"/>
        </w:rPr>
        <w:t>enied</w:t>
      </w:r>
      <w:proofErr w:type="gramEnd"/>
      <w:r w:rsidRPr="00952993">
        <w:rPr>
          <w:rFonts w:asciiTheme="majorHAnsi" w:hAnsiTheme="majorHAnsi" w:cstheme="majorHAnsi"/>
          <w:lang w:val="en-GB"/>
        </w:rPr>
        <w:t xml:space="preserve"> by the previously </w:t>
      </w:r>
      <w:r w:rsidR="00160934" w:rsidRPr="00952993">
        <w:rPr>
          <w:rFonts w:asciiTheme="majorHAnsi" w:hAnsiTheme="majorHAnsi" w:cstheme="majorHAnsi"/>
          <w:lang w:val="en-GB"/>
        </w:rPr>
        <w:t>listed</w:t>
      </w:r>
      <w:r w:rsidRPr="00952993">
        <w:rPr>
          <w:rFonts w:asciiTheme="majorHAnsi" w:hAnsiTheme="majorHAnsi" w:cstheme="majorHAnsi"/>
          <w:lang w:val="en-GB"/>
        </w:rPr>
        <w:t xml:space="preserve"> data.</w:t>
      </w:r>
      <w:r w:rsidR="00160934" w:rsidRPr="00952993">
        <w:rPr>
          <w:rStyle w:val="FootnoteReference"/>
          <w:rFonts w:asciiTheme="majorHAnsi" w:hAnsiTheme="majorHAnsi" w:cstheme="majorHAnsi"/>
          <w:lang w:val="en-GB"/>
        </w:rPr>
        <w:footnoteReference w:id="9"/>
      </w:r>
    </w:p>
    <w:p w:rsidR="00D76271" w:rsidRPr="00952993" w:rsidRDefault="00D76271" w:rsidP="00B25479">
      <w:pPr>
        <w:spacing w:after="0" w:line="240" w:lineRule="auto"/>
        <w:jc w:val="both"/>
        <w:rPr>
          <w:rFonts w:asciiTheme="majorHAnsi" w:hAnsiTheme="majorHAnsi" w:cstheme="majorHAnsi"/>
          <w:lang w:val="en-GB"/>
        </w:rPr>
      </w:pPr>
    </w:p>
    <w:p w:rsidR="00D76271" w:rsidRPr="00952993" w:rsidRDefault="00160934" w:rsidP="00D76271">
      <w:pPr>
        <w:spacing w:after="0" w:line="240" w:lineRule="auto"/>
        <w:jc w:val="center"/>
        <w:rPr>
          <w:rFonts w:asciiTheme="majorHAnsi" w:hAnsiTheme="majorHAnsi" w:cstheme="majorHAnsi"/>
          <w:sz w:val="20"/>
          <w:lang w:val="en-GB"/>
        </w:rPr>
      </w:pPr>
      <w:r w:rsidRPr="00952993">
        <w:rPr>
          <w:rFonts w:asciiTheme="majorHAnsi" w:hAnsiTheme="majorHAnsi" w:cstheme="majorHAnsi"/>
          <w:sz w:val="20"/>
          <w:lang w:val="en-GB"/>
        </w:rPr>
        <w:t>Photo 2: Part of the response of the Department for Environmental Inspection upon the initiative of MANS</w:t>
      </w:r>
    </w:p>
    <w:p w:rsidR="00D76271" w:rsidRPr="00952993" w:rsidRDefault="00D76271" w:rsidP="00D76271">
      <w:pPr>
        <w:spacing w:after="0" w:line="240" w:lineRule="auto"/>
        <w:jc w:val="center"/>
        <w:rPr>
          <w:rFonts w:asciiTheme="majorHAnsi" w:hAnsiTheme="majorHAnsi" w:cstheme="majorHAnsi"/>
          <w:sz w:val="20"/>
          <w:lang w:val="en-GB"/>
        </w:rPr>
      </w:pPr>
      <w:r w:rsidRPr="00952993">
        <w:rPr>
          <w:rFonts w:asciiTheme="majorHAnsi" w:hAnsiTheme="majorHAnsi" w:cstheme="majorHAnsi"/>
          <w:noProof/>
          <w:sz w:val="20"/>
          <w:lang w:val="en-US"/>
        </w:rPr>
        <w:drawing>
          <wp:inline distT="0" distB="0" distL="0" distR="0">
            <wp:extent cx="5760720" cy="1254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3.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254760"/>
                    </a:xfrm>
                    <a:prstGeom prst="rect">
                      <a:avLst/>
                    </a:prstGeom>
                  </pic:spPr>
                </pic:pic>
              </a:graphicData>
            </a:graphic>
          </wp:inline>
        </w:drawing>
      </w:r>
    </w:p>
    <w:p w:rsidR="00D76271" w:rsidRPr="00952993" w:rsidRDefault="00D76271" w:rsidP="00D76271">
      <w:pPr>
        <w:spacing w:after="0" w:line="240" w:lineRule="auto"/>
        <w:jc w:val="center"/>
        <w:rPr>
          <w:rFonts w:asciiTheme="majorHAnsi" w:hAnsiTheme="majorHAnsi" w:cstheme="majorHAnsi"/>
          <w:sz w:val="20"/>
          <w:lang w:val="en-GB"/>
        </w:rPr>
      </w:pPr>
    </w:p>
    <w:p w:rsidR="00160934" w:rsidRPr="00952993" w:rsidRDefault="00160934" w:rsidP="00D76271">
      <w:pPr>
        <w:spacing w:after="0" w:line="240" w:lineRule="auto"/>
        <w:jc w:val="both"/>
        <w:rPr>
          <w:rFonts w:asciiTheme="majorHAnsi" w:hAnsiTheme="majorHAnsi" w:cstheme="majorHAnsi"/>
          <w:lang w:val="en-GB"/>
        </w:rPr>
      </w:pPr>
      <w:proofErr w:type="gramStart"/>
      <w:r w:rsidRPr="00952993">
        <w:rPr>
          <w:rFonts w:asciiTheme="majorHAnsi" w:hAnsiTheme="majorHAnsi" w:cstheme="majorHAnsi"/>
          <w:lang w:val="en-GB"/>
        </w:rPr>
        <w:t xml:space="preserve">Later in the document, the environmental inspector states that the research on the state of biodiversity in the aquatic ecosystem of the Tara River from 2017 and 2018 determined that "species diversity is directly or indirectly affected by construction works", and that a smaller </w:t>
      </w:r>
      <w:r w:rsidRPr="00952993">
        <w:rPr>
          <w:rFonts w:asciiTheme="majorHAnsi" w:hAnsiTheme="majorHAnsi" w:cstheme="majorHAnsi"/>
          <w:lang w:val="en-GB"/>
        </w:rPr>
        <w:lastRenderedPageBreak/>
        <w:t xml:space="preserve">number of fish in the length of 10 km is a </w:t>
      </w:r>
      <w:r w:rsidR="003247B6" w:rsidRPr="00952993">
        <w:rPr>
          <w:rFonts w:asciiTheme="majorHAnsi" w:hAnsiTheme="majorHAnsi" w:cstheme="majorHAnsi"/>
          <w:lang w:val="en-GB"/>
        </w:rPr>
        <w:t>consequence</w:t>
      </w:r>
      <w:r w:rsidRPr="00952993">
        <w:rPr>
          <w:rFonts w:asciiTheme="majorHAnsi" w:hAnsiTheme="majorHAnsi" w:cstheme="majorHAnsi"/>
          <w:lang w:val="en-GB"/>
        </w:rPr>
        <w:t xml:space="preserve"> of the presence of suspended matter along the river flow.</w:t>
      </w:r>
      <w:proofErr w:type="gramEnd"/>
    </w:p>
    <w:p w:rsidR="00FD005A" w:rsidRPr="00952993" w:rsidRDefault="00FD005A" w:rsidP="00D76271">
      <w:pPr>
        <w:spacing w:after="0" w:line="240" w:lineRule="auto"/>
        <w:jc w:val="both"/>
        <w:rPr>
          <w:rFonts w:asciiTheme="majorHAnsi" w:hAnsiTheme="majorHAnsi" w:cstheme="majorHAnsi"/>
          <w:lang w:val="en-GB"/>
        </w:rPr>
      </w:pPr>
    </w:p>
    <w:p w:rsidR="00160934" w:rsidRPr="00952993" w:rsidRDefault="00160934" w:rsidP="00D76271">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However, in the opinion of the "research team", it is </w:t>
      </w:r>
      <w:proofErr w:type="gramStart"/>
      <w:r w:rsidRPr="00952993">
        <w:rPr>
          <w:rFonts w:asciiTheme="majorHAnsi" w:hAnsiTheme="majorHAnsi" w:cstheme="majorHAnsi"/>
          <w:lang w:val="en-GB"/>
        </w:rPr>
        <w:t>stated that</w:t>
      </w:r>
      <w:proofErr w:type="gramEnd"/>
      <w:r w:rsidRPr="00952993">
        <w:rPr>
          <w:rFonts w:asciiTheme="majorHAnsi" w:hAnsiTheme="majorHAnsi" w:cstheme="majorHAnsi"/>
          <w:lang w:val="en-GB"/>
        </w:rPr>
        <w:t xml:space="preserve"> "deteriorated water quality will improve and reach almost complete natural values in few years after the cessation of construction activities."</w:t>
      </w:r>
    </w:p>
    <w:p w:rsidR="00074F4E" w:rsidRPr="00952993" w:rsidRDefault="00074F4E" w:rsidP="00D76271">
      <w:pPr>
        <w:spacing w:after="0" w:line="240" w:lineRule="auto"/>
        <w:jc w:val="both"/>
        <w:rPr>
          <w:rFonts w:asciiTheme="majorHAnsi" w:hAnsiTheme="majorHAnsi" w:cstheme="majorHAnsi"/>
          <w:lang w:val="en-GB"/>
        </w:rPr>
      </w:pPr>
    </w:p>
    <w:p w:rsidR="00AA7760" w:rsidRPr="00952993" w:rsidRDefault="00AA7760" w:rsidP="00D76271">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It is clear from the received document that the inspection dealt exclusively with the consequences and plans for </w:t>
      </w:r>
      <w:r w:rsidR="00657D41" w:rsidRPr="00952993">
        <w:rPr>
          <w:rFonts w:asciiTheme="majorHAnsi" w:hAnsiTheme="majorHAnsi" w:cstheme="majorHAnsi"/>
          <w:lang w:val="en-GB"/>
        </w:rPr>
        <w:t>remediation</w:t>
      </w:r>
      <w:r w:rsidRPr="00952993">
        <w:rPr>
          <w:rFonts w:asciiTheme="majorHAnsi" w:hAnsiTheme="majorHAnsi" w:cstheme="majorHAnsi"/>
          <w:lang w:val="en-GB"/>
        </w:rPr>
        <w:t xml:space="preserve"> of the devastated area, but not with the responsibility and possible omissions, which practically </w:t>
      </w:r>
      <w:r w:rsidR="00AA7836">
        <w:rPr>
          <w:rFonts w:asciiTheme="majorHAnsi" w:hAnsiTheme="majorHAnsi" w:cstheme="majorHAnsi"/>
          <w:lang w:val="en-GB"/>
        </w:rPr>
        <w:t>released</w:t>
      </w:r>
      <w:r w:rsidRPr="00952993">
        <w:rPr>
          <w:rFonts w:asciiTheme="majorHAnsi" w:hAnsiTheme="majorHAnsi" w:cstheme="majorHAnsi"/>
          <w:lang w:val="en-GB"/>
        </w:rPr>
        <w:t xml:space="preserve"> the contractor - Chinese company "China Road and Bridge Corporation"</w:t>
      </w:r>
      <w:r w:rsidR="00AA7836">
        <w:rPr>
          <w:rFonts w:asciiTheme="majorHAnsi" w:hAnsiTheme="majorHAnsi" w:cstheme="majorHAnsi"/>
          <w:lang w:val="en-GB"/>
        </w:rPr>
        <w:t xml:space="preserve"> of responsibility</w:t>
      </w:r>
      <w:r w:rsidRPr="00952993">
        <w:rPr>
          <w:rFonts w:asciiTheme="majorHAnsi" w:hAnsiTheme="majorHAnsi" w:cstheme="majorHAnsi"/>
          <w:lang w:val="en-GB"/>
        </w:rPr>
        <w:t>.</w:t>
      </w:r>
    </w:p>
    <w:p w:rsidR="00AA7760" w:rsidRPr="00952993" w:rsidRDefault="00AA7760" w:rsidP="00D76271">
      <w:pPr>
        <w:spacing w:after="0" w:line="240" w:lineRule="auto"/>
        <w:jc w:val="both"/>
        <w:rPr>
          <w:rFonts w:asciiTheme="majorHAnsi" w:hAnsiTheme="majorHAnsi" w:cstheme="majorHAnsi"/>
          <w:lang w:val="en-GB"/>
        </w:rPr>
      </w:pPr>
    </w:p>
    <w:p w:rsidR="00E44951" w:rsidRPr="00952993" w:rsidRDefault="00AF48EB" w:rsidP="00FF775C">
      <w:pPr>
        <w:spacing w:after="0" w:line="240" w:lineRule="auto"/>
        <w:jc w:val="center"/>
        <w:rPr>
          <w:rFonts w:asciiTheme="majorHAnsi" w:hAnsiTheme="majorHAnsi" w:cstheme="majorHAnsi"/>
          <w:sz w:val="20"/>
          <w:lang w:val="en-GB"/>
        </w:rPr>
      </w:pPr>
      <w:r w:rsidRPr="00952993">
        <w:rPr>
          <w:rFonts w:asciiTheme="majorHAnsi" w:hAnsiTheme="majorHAnsi" w:cstheme="majorHAnsi"/>
          <w:sz w:val="20"/>
          <w:lang w:val="en-GB"/>
        </w:rPr>
        <w:t>Photo 3: Part of the response of the Department for Environmental Inspection upon the initiative of MANS</w:t>
      </w:r>
    </w:p>
    <w:p w:rsidR="00FF775C" w:rsidRPr="00952993" w:rsidRDefault="00FF775C" w:rsidP="00FF775C">
      <w:pPr>
        <w:spacing w:after="0" w:line="240" w:lineRule="auto"/>
        <w:jc w:val="center"/>
        <w:rPr>
          <w:rFonts w:asciiTheme="majorHAnsi" w:hAnsiTheme="majorHAnsi" w:cstheme="majorHAnsi"/>
          <w:sz w:val="20"/>
          <w:lang w:val="en-GB"/>
        </w:rPr>
      </w:pPr>
      <w:r w:rsidRPr="00952993">
        <w:rPr>
          <w:rFonts w:asciiTheme="majorHAnsi" w:hAnsiTheme="majorHAnsi" w:cstheme="majorHAnsi"/>
          <w:noProof/>
          <w:sz w:val="20"/>
          <w:lang w:val="en-US"/>
        </w:rPr>
        <w:drawing>
          <wp:inline distT="0" distB="0" distL="0" distR="0">
            <wp:extent cx="5464013" cy="1402202"/>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4.png"/>
                    <pic:cNvPicPr/>
                  </pic:nvPicPr>
                  <pic:blipFill>
                    <a:blip r:embed="rId13">
                      <a:extLst>
                        <a:ext uri="{28A0092B-C50C-407E-A947-70E740481C1C}">
                          <a14:useLocalDpi xmlns:a14="http://schemas.microsoft.com/office/drawing/2010/main" val="0"/>
                        </a:ext>
                      </a:extLst>
                    </a:blip>
                    <a:stretch>
                      <a:fillRect/>
                    </a:stretch>
                  </pic:blipFill>
                  <pic:spPr>
                    <a:xfrm>
                      <a:off x="0" y="0"/>
                      <a:ext cx="5464013" cy="1402202"/>
                    </a:xfrm>
                    <a:prstGeom prst="rect">
                      <a:avLst/>
                    </a:prstGeom>
                  </pic:spPr>
                </pic:pic>
              </a:graphicData>
            </a:graphic>
          </wp:inline>
        </w:drawing>
      </w:r>
    </w:p>
    <w:p w:rsidR="00FF775C" w:rsidRPr="00952993" w:rsidRDefault="00FF775C" w:rsidP="00FF775C">
      <w:pPr>
        <w:spacing w:after="0" w:line="240" w:lineRule="auto"/>
        <w:jc w:val="center"/>
        <w:rPr>
          <w:rFonts w:asciiTheme="majorHAnsi" w:hAnsiTheme="majorHAnsi" w:cstheme="majorHAnsi"/>
          <w:sz w:val="20"/>
          <w:lang w:val="en-GB"/>
        </w:rPr>
      </w:pPr>
    </w:p>
    <w:p w:rsidR="002D202D" w:rsidRPr="00952993" w:rsidRDefault="00A22F8D" w:rsidP="00FF775C">
      <w:pPr>
        <w:spacing w:after="0" w:line="240" w:lineRule="auto"/>
        <w:jc w:val="both"/>
        <w:rPr>
          <w:rFonts w:asciiTheme="majorHAnsi" w:hAnsiTheme="majorHAnsi" w:cstheme="majorHAnsi"/>
          <w:lang w:val="en-GB"/>
        </w:rPr>
      </w:pPr>
      <w:r w:rsidRPr="00952993">
        <w:rPr>
          <w:rFonts w:asciiTheme="majorHAnsi" w:hAnsiTheme="majorHAnsi" w:cstheme="majorHAnsi"/>
          <w:lang w:val="en-GB"/>
        </w:rPr>
        <w:t xml:space="preserve">From all the above, it can be clearly concluded that the environmental inspection does not intend to address the responsibility of the contractor for the damage it causes every day to one of the most valuable resources of Montenegro – Tara River, as well as </w:t>
      </w:r>
      <w:r w:rsidR="00952993" w:rsidRPr="00952993">
        <w:rPr>
          <w:rFonts w:asciiTheme="majorHAnsi" w:hAnsiTheme="majorHAnsi" w:cstheme="majorHAnsi"/>
          <w:lang w:val="en-GB"/>
        </w:rPr>
        <w:t xml:space="preserve">that </w:t>
      </w:r>
      <w:r w:rsidRPr="00952993">
        <w:rPr>
          <w:rFonts w:asciiTheme="majorHAnsi" w:hAnsiTheme="majorHAnsi" w:cstheme="majorHAnsi"/>
          <w:lang w:val="en-GB"/>
        </w:rPr>
        <w:t>the inspection's attitude is generally inadequat</w:t>
      </w:r>
      <w:r w:rsidR="00952993" w:rsidRPr="00952993">
        <w:rPr>
          <w:rFonts w:asciiTheme="majorHAnsi" w:hAnsiTheme="majorHAnsi" w:cstheme="majorHAnsi"/>
          <w:lang w:val="en-GB"/>
        </w:rPr>
        <w:t>e</w:t>
      </w:r>
      <w:r w:rsidR="002D202D" w:rsidRPr="00952993">
        <w:rPr>
          <w:rFonts w:asciiTheme="majorHAnsi" w:hAnsiTheme="majorHAnsi" w:cstheme="majorHAnsi"/>
          <w:lang w:val="en-GB"/>
        </w:rPr>
        <w:t xml:space="preserve"> towards the most expensive project ever built in Montenegro, which can have far-reaching consequences for the valuable natural resources that Montenegro has.</w:t>
      </w:r>
    </w:p>
    <w:p w:rsidR="00FF775C" w:rsidRPr="00FF775C" w:rsidRDefault="00FF775C" w:rsidP="00FF775C">
      <w:pPr>
        <w:spacing w:after="0" w:line="240" w:lineRule="auto"/>
        <w:jc w:val="both"/>
        <w:rPr>
          <w:rFonts w:asciiTheme="majorHAnsi" w:hAnsiTheme="majorHAnsi" w:cstheme="majorHAnsi"/>
        </w:rPr>
      </w:pPr>
      <w:bookmarkStart w:id="0" w:name="_GoBack"/>
      <w:bookmarkEnd w:id="0"/>
    </w:p>
    <w:sectPr w:rsidR="00FF775C" w:rsidRPr="00FF775C" w:rsidSect="00EE4D03">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5D" w:rsidRDefault="009B0F5D" w:rsidP="00D02E80">
      <w:pPr>
        <w:spacing w:after="0" w:line="240" w:lineRule="auto"/>
      </w:pPr>
      <w:r>
        <w:separator/>
      </w:r>
    </w:p>
  </w:endnote>
  <w:endnote w:type="continuationSeparator" w:id="0">
    <w:p w:rsidR="009B0F5D" w:rsidRDefault="009B0F5D" w:rsidP="00D0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3194143"/>
      <w:docPartObj>
        <w:docPartGallery w:val="Page Numbers (Bottom of Page)"/>
        <w:docPartUnique/>
      </w:docPartObj>
    </w:sdtPr>
    <w:sdtEndPr>
      <w:rPr>
        <w:rStyle w:val="PageNumber"/>
      </w:rPr>
    </w:sdtEndPr>
    <w:sdtContent>
      <w:p w:rsidR="00EE4D03" w:rsidRDefault="003E181C" w:rsidP="00C24F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4D03" w:rsidRDefault="009B0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90400"/>
      <w:docPartObj>
        <w:docPartGallery w:val="Page Numbers (Bottom of Page)"/>
        <w:docPartUnique/>
      </w:docPartObj>
    </w:sdtPr>
    <w:sdtEndPr>
      <w:rPr>
        <w:rStyle w:val="PageNumber"/>
        <w:rFonts w:asciiTheme="majorHAnsi" w:hAnsiTheme="majorHAnsi" w:cstheme="majorHAnsi"/>
        <w:sz w:val="18"/>
        <w:szCs w:val="18"/>
      </w:rPr>
    </w:sdtEndPr>
    <w:sdtContent>
      <w:p w:rsidR="00EE4D03" w:rsidRPr="00EE4D03" w:rsidRDefault="003E181C" w:rsidP="00C24F0B">
        <w:pPr>
          <w:pStyle w:val="Footer"/>
          <w:framePr w:wrap="none" w:vAnchor="text" w:hAnchor="margin" w:xAlign="center" w:y="1"/>
          <w:rPr>
            <w:rStyle w:val="PageNumber"/>
            <w:rFonts w:asciiTheme="majorHAnsi" w:hAnsiTheme="majorHAnsi" w:cstheme="majorHAnsi"/>
            <w:sz w:val="18"/>
            <w:szCs w:val="18"/>
          </w:rPr>
        </w:pPr>
        <w:r w:rsidRPr="00EE4D03">
          <w:rPr>
            <w:rStyle w:val="PageNumber"/>
            <w:rFonts w:asciiTheme="majorHAnsi" w:hAnsiTheme="majorHAnsi" w:cstheme="majorHAnsi"/>
            <w:sz w:val="18"/>
            <w:szCs w:val="18"/>
          </w:rPr>
          <w:fldChar w:fldCharType="begin"/>
        </w:r>
        <w:r w:rsidRPr="00EE4D03">
          <w:rPr>
            <w:rStyle w:val="PageNumber"/>
            <w:rFonts w:asciiTheme="majorHAnsi" w:hAnsiTheme="majorHAnsi" w:cstheme="majorHAnsi"/>
            <w:sz w:val="18"/>
            <w:szCs w:val="18"/>
          </w:rPr>
          <w:instrText xml:space="preserve"> PAGE </w:instrText>
        </w:r>
        <w:r w:rsidRPr="00EE4D03">
          <w:rPr>
            <w:rStyle w:val="PageNumber"/>
            <w:rFonts w:asciiTheme="majorHAnsi" w:hAnsiTheme="majorHAnsi" w:cstheme="majorHAnsi"/>
            <w:sz w:val="18"/>
            <w:szCs w:val="18"/>
          </w:rPr>
          <w:fldChar w:fldCharType="separate"/>
        </w:r>
        <w:r w:rsidR="008530D7">
          <w:rPr>
            <w:rStyle w:val="PageNumber"/>
            <w:rFonts w:asciiTheme="majorHAnsi" w:hAnsiTheme="majorHAnsi" w:cstheme="majorHAnsi"/>
            <w:noProof/>
            <w:sz w:val="18"/>
            <w:szCs w:val="18"/>
          </w:rPr>
          <w:t>3</w:t>
        </w:r>
        <w:r w:rsidRPr="00EE4D03">
          <w:rPr>
            <w:rStyle w:val="PageNumber"/>
            <w:rFonts w:asciiTheme="majorHAnsi" w:hAnsiTheme="majorHAnsi" w:cstheme="majorHAnsi"/>
            <w:sz w:val="18"/>
            <w:szCs w:val="18"/>
          </w:rPr>
          <w:fldChar w:fldCharType="end"/>
        </w:r>
      </w:p>
    </w:sdtContent>
  </w:sdt>
  <w:p w:rsidR="00EE4D03" w:rsidRDefault="009B0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5D" w:rsidRDefault="009B0F5D" w:rsidP="00D02E80">
      <w:pPr>
        <w:spacing w:after="0" w:line="240" w:lineRule="auto"/>
      </w:pPr>
      <w:r>
        <w:separator/>
      </w:r>
    </w:p>
  </w:footnote>
  <w:footnote w:type="continuationSeparator" w:id="0">
    <w:p w:rsidR="009B0F5D" w:rsidRDefault="009B0F5D" w:rsidP="00D02E80">
      <w:pPr>
        <w:spacing w:after="0" w:line="240" w:lineRule="auto"/>
      </w:pPr>
      <w:r>
        <w:continuationSeparator/>
      </w:r>
    </w:p>
  </w:footnote>
  <w:footnote w:id="1">
    <w:p w:rsidR="00E034AD" w:rsidRPr="00AA42C8" w:rsidRDefault="00E034AD" w:rsidP="00E034AD">
      <w:pPr>
        <w:pStyle w:val="FootnoteText"/>
        <w:rPr>
          <w:rFonts w:asciiTheme="majorHAnsi" w:hAnsiTheme="majorHAnsi" w:cstheme="majorHAnsi"/>
          <w:b/>
          <w:sz w:val="16"/>
          <w:lang w:val="en-GB"/>
        </w:rPr>
      </w:pPr>
      <w:r w:rsidRPr="00600102">
        <w:rPr>
          <w:rStyle w:val="FootnoteReference"/>
          <w:rFonts w:asciiTheme="majorHAnsi" w:hAnsiTheme="majorHAnsi" w:cstheme="majorHAnsi"/>
          <w:sz w:val="16"/>
        </w:rPr>
        <w:footnoteRef/>
      </w:r>
      <w:r w:rsidRPr="00600102">
        <w:rPr>
          <w:rFonts w:asciiTheme="majorHAnsi" w:hAnsiTheme="majorHAnsi" w:cstheme="majorHAnsi"/>
          <w:sz w:val="16"/>
        </w:rPr>
        <w:t xml:space="preserve"> </w:t>
      </w:r>
      <w:r w:rsidR="00054AA8" w:rsidRPr="00AA42C8">
        <w:rPr>
          <w:rFonts w:asciiTheme="majorHAnsi" w:hAnsiTheme="majorHAnsi" w:cstheme="majorHAnsi"/>
          <w:sz w:val="16"/>
          <w:lang w:val="en-GB"/>
        </w:rPr>
        <w:t>See more at</w:t>
      </w:r>
      <w:r w:rsidRPr="00AA42C8">
        <w:rPr>
          <w:rFonts w:asciiTheme="majorHAnsi" w:hAnsiTheme="majorHAnsi" w:cstheme="majorHAnsi"/>
          <w:sz w:val="16"/>
          <w:lang w:val="en-GB"/>
        </w:rPr>
        <w:t xml:space="preserve">: </w:t>
      </w:r>
      <w:hyperlink r:id="rId1" w:history="1">
        <w:r w:rsidRPr="00AA42C8">
          <w:rPr>
            <w:rStyle w:val="Hyperlink"/>
            <w:rFonts w:asciiTheme="majorHAnsi" w:hAnsiTheme="majorHAnsi" w:cstheme="majorHAnsi"/>
            <w:sz w:val="16"/>
            <w:lang w:val="en-GB"/>
          </w:rPr>
          <w:t>http://www.mans.co.me/studija-slucaja-inspekcija-sakrila-informacije-o-nadzoru-radova-na-rijeci-tari/</w:t>
        </w:r>
      </w:hyperlink>
      <w:r w:rsidRPr="00AA42C8">
        <w:rPr>
          <w:rFonts w:asciiTheme="majorHAnsi" w:hAnsiTheme="majorHAnsi" w:cstheme="majorHAnsi"/>
          <w:sz w:val="16"/>
          <w:lang w:val="en-GB"/>
        </w:rPr>
        <w:t xml:space="preserve"> </w:t>
      </w:r>
    </w:p>
  </w:footnote>
  <w:footnote w:id="2">
    <w:p w:rsidR="00E034AD" w:rsidRPr="00AA42C8" w:rsidRDefault="00E034AD" w:rsidP="00E034AD">
      <w:pPr>
        <w:pStyle w:val="FootnoteText"/>
        <w:rPr>
          <w:rFonts w:asciiTheme="majorHAnsi" w:hAnsiTheme="majorHAnsi" w:cstheme="majorHAnsi"/>
          <w:sz w:val="16"/>
          <w:lang w:val="en-GB"/>
        </w:rPr>
      </w:pPr>
      <w:r w:rsidRPr="00AA42C8">
        <w:rPr>
          <w:rStyle w:val="FootnoteReference"/>
          <w:rFonts w:asciiTheme="majorHAnsi" w:hAnsiTheme="majorHAnsi" w:cstheme="majorHAnsi"/>
          <w:sz w:val="16"/>
          <w:lang w:val="en-GB"/>
        </w:rPr>
        <w:footnoteRef/>
      </w:r>
      <w:r w:rsidRPr="00AA42C8">
        <w:rPr>
          <w:rFonts w:asciiTheme="majorHAnsi" w:hAnsiTheme="majorHAnsi" w:cstheme="majorHAnsi"/>
          <w:sz w:val="16"/>
          <w:lang w:val="en-GB"/>
        </w:rPr>
        <w:t xml:space="preserve"> </w:t>
      </w:r>
      <w:r w:rsidR="0050653F" w:rsidRPr="00AA42C8">
        <w:rPr>
          <w:rFonts w:asciiTheme="majorHAnsi" w:hAnsiTheme="majorHAnsi" w:cstheme="majorHAnsi"/>
          <w:sz w:val="16"/>
          <w:lang w:val="en-GB"/>
        </w:rPr>
        <w:t>Request for free access to information NGO MANS no. 128080 of 3 June, 2019</w:t>
      </w:r>
    </w:p>
  </w:footnote>
  <w:footnote w:id="3">
    <w:p w:rsidR="00B25479" w:rsidRPr="00600102" w:rsidRDefault="00B25479">
      <w:pPr>
        <w:pStyle w:val="FootnoteText"/>
        <w:rPr>
          <w:rFonts w:asciiTheme="majorHAnsi" w:hAnsiTheme="majorHAnsi" w:cstheme="majorHAnsi"/>
          <w:sz w:val="16"/>
        </w:rPr>
      </w:pPr>
      <w:r w:rsidRPr="00AA42C8">
        <w:rPr>
          <w:rStyle w:val="FootnoteReference"/>
          <w:rFonts w:asciiTheme="majorHAnsi" w:hAnsiTheme="majorHAnsi" w:cstheme="majorHAnsi"/>
          <w:sz w:val="16"/>
          <w:lang w:val="en-GB"/>
        </w:rPr>
        <w:footnoteRef/>
      </w:r>
      <w:r w:rsidRPr="00AA42C8">
        <w:rPr>
          <w:rFonts w:asciiTheme="majorHAnsi" w:hAnsiTheme="majorHAnsi" w:cstheme="majorHAnsi"/>
          <w:sz w:val="16"/>
          <w:lang w:val="en-GB"/>
        </w:rPr>
        <w:t xml:space="preserve"> </w:t>
      </w:r>
      <w:r w:rsidR="0050653F" w:rsidRPr="00AA42C8">
        <w:rPr>
          <w:rFonts w:asciiTheme="majorHAnsi" w:hAnsiTheme="majorHAnsi" w:cstheme="majorHAnsi"/>
          <w:sz w:val="16"/>
          <w:lang w:val="en-GB"/>
        </w:rPr>
        <w:t>Decision of the Directorate for Inspection Affairs no. 0801-03/2019-39/2 of 13 June, 2019</w:t>
      </w:r>
    </w:p>
  </w:footnote>
  <w:footnote w:id="4">
    <w:p w:rsidR="00AF6B52" w:rsidRPr="00D40A39" w:rsidRDefault="00AF6B52" w:rsidP="00AF6B52">
      <w:pPr>
        <w:pStyle w:val="FootnoteText"/>
        <w:rPr>
          <w:rFonts w:asciiTheme="majorHAnsi" w:hAnsiTheme="majorHAnsi" w:cstheme="majorHAnsi"/>
          <w:sz w:val="16"/>
          <w:szCs w:val="16"/>
          <w:lang w:val="en-GB"/>
        </w:rPr>
      </w:pPr>
      <w:r w:rsidRPr="00D40A39">
        <w:rPr>
          <w:rStyle w:val="FootnoteReference"/>
          <w:rFonts w:asciiTheme="majorHAnsi" w:hAnsiTheme="majorHAnsi" w:cstheme="majorHAnsi"/>
          <w:sz w:val="16"/>
          <w:lang w:val="en-GB"/>
        </w:rPr>
        <w:footnoteRef/>
      </w:r>
      <w:r w:rsidRPr="00D40A39">
        <w:rPr>
          <w:rFonts w:asciiTheme="majorHAnsi" w:hAnsiTheme="majorHAnsi" w:cstheme="majorHAnsi"/>
          <w:sz w:val="16"/>
          <w:lang w:val="en-GB"/>
        </w:rPr>
        <w:t xml:space="preserve"> </w:t>
      </w:r>
      <w:r w:rsidR="00952993" w:rsidRPr="00D40A39">
        <w:rPr>
          <w:rFonts w:asciiTheme="majorHAnsi" w:hAnsiTheme="majorHAnsi" w:cstheme="majorHAnsi"/>
          <w:sz w:val="16"/>
          <w:lang w:val="en-GB"/>
        </w:rPr>
        <w:t>Reports on the work of the Directorate for Inspection Affairs for 2015, 2016, 2017 and 2018</w:t>
      </w:r>
    </w:p>
  </w:footnote>
  <w:footnote w:id="5">
    <w:p w:rsidR="00027CD1" w:rsidRPr="00D40A39" w:rsidRDefault="00027CD1">
      <w:pPr>
        <w:pStyle w:val="FootnoteText"/>
        <w:rPr>
          <w:lang w:val="en-GB"/>
        </w:rPr>
      </w:pPr>
      <w:r w:rsidRPr="00D40A39">
        <w:rPr>
          <w:rStyle w:val="FootnoteReference"/>
          <w:rFonts w:asciiTheme="majorHAnsi" w:hAnsiTheme="majorHAnsi" w:cstheme="majorHAnsi"/>
          <w:sz w:val="16"/>
          <w:szCs w:val="16"/>
          <w:lang w:val="en-GB"/>
        </w:rPr>
        <w:footnoteRef/>
      </w:r>
      <w:r w:rsidRPr="00D40A39">
        <w:rPr>
          <w:rFonts w:asciiTheme="majorHAnsi" w:hAnsiTheme="majorHAnsi" w:cstheme="majorHAnsi"/>
          <w:sz w:val="16"/>
          <w:szCs w:val="16"/>
          <w:lang w:val="en-GB"/>
        </w:rPr>
        <w:t xml:space="preserve"> </w:t>
      </w:r>
      <w:r w:rsidR="00952993" w:rsidRPr="00D40A39">
        <w:rPr>
          <w:rFonts w:asciiTheme="majorHAnsi" w:hAnsiTheme="majorHAnsi" w:cstheme="majorHAnsi"/>
          <w:sz w:val="16"/>
          <w:szCs w:val="16"/>
          <w:lang w:val="en-GB"/>
        </w:rPr>
        <w:t>See more at</w:t>
      </w:r>
      <w:r w:rsidRPr="00D40A39">
        <w:rPr>
          <w:rFonts w:asciiTheme="majorHAnsi" w:hAnsiTheme="majorHAnsi" w:cstheme="majorHAnsi"/>
          <w:sz w:val="16"/>
          <w:szCs w:val="16"/>
          <w:lang w:val="en-GB"/>
        </w:rPr>
        <w:t xml:space="preserve">: </w:t>
      </w:r>
      <w:hyperlink r:id="rId2" w:history="1">
        <w:r w:rsidRPr="00D40A39">
          <w:rPr>
            <w:rStyle w:val="Hyperlink"/>
            <w:rFonts w:asciiTheme="majorHAnsi" w:hAnsiTheme="majorHAnsi" w:cstheme="majorHAnsi"/>
            <w:sz w:val="16"/>
            <w:szCs w:val="16"/>
            <w:lang w:val="en-GB"/>
          </w:rPr>
          <w:t>http://www.uip.gov.me/inspekcije/opis_ekoloska</w:t>
        </w:r>
      </w:hyperlink>
      <w:r w:rsidRPr="00D40A39">
        <w:rPr>
          <w:rFonts w:asciiTheme="majorHAnsi" w:hAnsiTheme="majorHAnsi" w:cstheme="majorHAnsi"/>
          <w:sz w:val="16"/>
          <w:szCs w:val="16"/>
          <w:lang w:val="en-GB"/>
        </w:rPr>
        <w:t xml:space="preserve"> </w:t>
      </w:r>
    </w:p>
  </w:footnote>
  <w:footnote w:id="6">
    <w:p w:rsidR="00FF4C0E" w:rsidRPr="00D40A39" w:rsidRDefault="00FF4C0E">
      <w:pPr>
        <w:pStyle w:val="FootnoteText"/>
        <w:rPr>
          <w:rFonts w:asciiTheme="majorHAnsi" w:hAnsiTheme="majorHAnsi" w:cstheme="majorHAnsi"/>
          <w:sz w:val="16"/>
          <w:szCs w:val="16"/>
          <w:lang w:val="en-GB"/>
        </w:rPr>
      </w:pPr>
      <w:r w:rsidRPr="00D40A39">
        <w:rPr>
          <w:rStyle w:val="FootnoteReference"/>
          <w:rFonts w:asciiTheme="majorHAnsi" w:hAnsiTheme="majorHAnsi" w:cstheme="majorHAnsi"/>
          <w:sz w:val="16"/>
          <w:szCs w:val="16"/>
          <w:lang w:val="en-GB"/>
        </w:rPr>
        <w:footnoteRef/>
      </w:r>
      <w:r w:rsidRPr="00D40A39">
        <w:rPr>
          <w:rFonts w:asciiTheme="majorHAnsi" w:hAnsiTheme="majorHAnsi" w:cstheme="majorHAnsi"/>
          <w:sz w:val="16"/>
          <w:szCs w:val="16"/>
          <w:lang w:val="en-GB"/>
        </w:rPr>
        <w:t xml:space="preserve"> </w:t>
      </w:r>
      <w:r w:rsidR="00952993" w:rsidRPr="00D40A39">
        <w:rPr>
          <w:rFonts w:asciiTheme="majorHAnsi" w:hAnsiTheme="majorHAnsi" w:cstheme="majorHAnsi"/>
          <w:sz w:val="16"/>
          <w:szCs w:val="16"/>
          <w:lang w:val="en-GB"/>
        </w:rPr>
        <w:t>More information can be found at</w:t>
      </w:r>
      <w:r w:rsidRPr="00D40A39">
        <w:rPr>
          <w:rFonts w:asciiTheme="majorHAnsi" w:hAnsiTheme="majorHAnsi" w:cstheme="majorHAnsi"/>
          <w:sz w:val="16"/>
          <w:szCs w:val="16"/>
          <w:lang w:val="en-GB"/>
        </w:rPr>
        <w:t xml:space="preserve">: </w:t>
      </w:r>
      <w:hyperlink r:id="rId3" w:history="1">
        <w:r w:rsidRPr="00D40A39">
          <w:rPr>
            <w:rStyle w:val="Hyperlink"/>
            <w:rFonts w:asciiTheme="majorHAnsi" w:hAnsiTheme="majorHAnsi" w:cstheme="majorHAnsi"/>
            <w:sz w:val="16"/>
            <w:szCs w:val="16"/>
            <w:lang w:val="en-GB"/>
          </w:rPr>
          <w:t>http://barboljare.me/</w:t>
        </w:r>
      </w:hyperlink>
      <w:r w:rsidRPr="00D40A39">
        <w:rPr>
          <w:rFonts w:asciiTheme="majorHAnsi" w:hAnsiTheme="majorHAnsi" w:cstheme="majorHAnsi"/>
          <w:sz w:val="16"/>
          <w:szCs w:val="16"/>
          <w:lang w:val="en-GB"/>
        </w:rPr>
        <w:t xml:space="preserve"> </w:t>
      </w:r>
    </w:p>
  </w:footnote>
  <w:footnote w:id="7">
    <w:p w:rsidR="003B34B9" w:rsidRPr="00D40A39" w:rsidRDefault="003B34B9" w:rsidP="003B34B9">
      <w:pPr>
        <w:pStyle w:val="FootnoteText"/>
        <w:rPr>
          <w:rFonts w:asciiTheme="majorHAnsi" w:hAnsiTheme="majorHAnsi" w:cstheme="majorHAnsi"/>
          <w:sz w:val="16"/>
          <w:szCs w:val="16"/>
          <w:highlight w:val="yellow"/>
          <w:lang w:val="en-GB"/>
        </w:rPr>
      </w:pPr>
      <w:r w:rsidRPr="00D40A39">
        <w:rPr>
          <w:rStyle w:val="FootnoteReference"/>
          <w:rFonts w:asciiTheme="majorHAnsi" w:hAnsiTheme="majorHAnsi" w:cstheme="majorHAnsi"/>
          <w:sz w:val="16"/>
          <w:szCs w:val="16"/>
          <w:lang w:val="en-GB"/>
        </w:rPr>
        <w:footnoteRef/>
      </w:r>
      <w:r w:rsidRPr="00D40A39">
        <w:rPr>
          <w:rFonts w:asciiTheme="majorHAnsi" w:hAnsiTheme="majorHAnsi" w:cstheme="majorHAnsi"/>
          <w:sz w:val="16"/>
          <w:szCs w:val="16"/>
          <w:lang w:val="en-GB"/>
        </w:rPr>
        <w:t xml:space="preserve"> </w:t>
      </w:r>
      <w:r w:rsidR="0077057B" w:rsidRPr="0077057B">
        <w:rPr>
          <w:rFonts w:asciiTheme="majorHAnsi" w:hAnsiTheme="majorHAnsi" w:cstheme="majorHAnsi"/>
          <w:sz w:val="16"/>
          <w:szCs w:val="16"/>
          <w:lang w:val="en-GB"/>
        </w:rPr>
        <w:t>Summarized data from the Report on the work of the Directorate for Inspection Affairs for 2015, 2016, 2017 and 2018</w:t>
      </w:r>
    </w:p>
  </w:footnote>
  <w:footnote w:id="8">
    <w:p w:rsidR="00912757" w:rsidRPr="0077057B" w:rsidRDefault="00912757" w:rsidP="00912757">
      <w:pPr>
        <w:pStyle w:val="FootnoteText"/>
        <w:rPr>
          <w:rFonts w:asciiTheme="majorHAnsi" w:hAnsiTheme="majorHAnsi" w:cstheme="majorHAnsi"/>
          <w:sz w:val="16"/>
          <w:szCs w:val="16"/>
          <w:lang w:val="en-GB"/>
        </w:rPr>
      </w:pPr>
      <w:r w:rsidRPr="0077057B">
        <w:rPr>
          <w:rStyle w:val="FootnoteReference"/>
          <w:rFonts w:asciiTheme="majorHAnsi" w:hAnsiTheme="majorHAnsi" w:cstheme="majorHAnsi"/>
          <w:sz w:val="16"/>
          <w:szCs w:val="16"/>
          <w:lang w:val="en-GB"/>
        </w:rPr>
        <w:footnoteRef/>
      </w:r>
      <w:r w:rsidRPr="0077057B">
        <w:rPr>
          <w:rFonts w:asciiTheme="majorHAnsi" w:hAnsiTheme="majorHAnsi" w:cstheme="majorHAnsi"/>
          <w:sz w:val="16"/>
          <w:szCs w:val="16"/>
          <w:lang w:val="en-GB"/>
        </w:rPr>
        <w:t xml:space="preserve"> </w:t>
      </w:r>
      <w:r w:rsidR="0077057B" w:rsidRPr="0077057B">
        <w:rPr>
          <w:rFonts w:asciiTheme="majorHAnsi" w:hAnsiTheme="majorHAnsi" w:cstheme="majorHAnsi"/>
          <w:sz w:val="16"/>
          <w:szCs w:val="16"/>
          <w:lang w:val="en-GB"/>
        </w:rPr>
        <w:t>Initiative of the NGO MANS no. 24864/10 of 29 October 2018</w:t>
      </w:r>
    </w:p>
  </w:footnote>
  <w:footnote w:id="9">
    <w:p w:rsidR="00160934" w:rsidRDefault="00160934" w:rsidP="00160934">
      <w:pPr>
        <w:pStyle w:val="FootnoteText"/>
      </w:pPr>
      <w:r w:rsidRPr="0077057B">
        <w:rPr>
          <w:rStyle w:val="FootnoteReference"/>
          <w:rFonts w:asciiTheme="majorHAnsi" w:hAnsiTheme="majorHAnsi" w:cstheme="majorHAnsi"/>
          <w:sz w:val="16"/>
          <w:szCs w:val="16"/>
          <w:lang w:val="en-GB"/>
        </w:rPr>
        <w:footnoteRef/>
      </w:r>
      <w:r w:rsidRPr="0077057B">
        <w:rPr>
          <w:rFonts w:asciiTheme="majorHAnsi" w:hAnsiTheme="majorHAnsi" w:cstheme="majorHAnsi"/>
          <w:sz w:val="16"/>
          <w:szCs w:val="16"/>
          <w:lang w:val="en-GB"/>
        </w:rPr>
        <w:t xml:space="preserve"> </w:t>
      </w:r>
      <w:r w:rsidR="0077057B" w:rsidRPr="0077057B">
        <w:rPr>
          <w:rFonts w:asciiTheme="majorHAnsi" w:hAnsiTheme="majorHAnsi" w:cstheme="majorHAnsi"/>
          <w:sz w:val="16"/>
          <w:szCs w:val="16"/>
          <w:lang w:val="en-GB"/>
        </w:rPr>
        <w:t>Response of the Department for</w:t>
      </w:r>
      <w:r w:rsidR="0077057B">
        <w:rPr>
          <w:rFonts w:asciiTheme="majorHAnsi" w:hAnsiTheme="majorHAnsi" w:cstheme="majorHAnsi"/>
          <w:sz w:val="16"/>
          <w:szCs w:val="16"/>
          <w:lang w:val="en-GB"/>
        </w:rPr>
        <w:t xml:space="preserve"> Ecological Inspection no. 0303/2017-8835/</w:t>
      </w:r>
      <w:r w:rsidR="0077057B" w:rsidRPr="0077057B">
        <w:rPr>
          <w:rFonts w:asciiTheme="majorHAnsi" w:hAnsiTheme="majorHAnsi" w:cstheme="majorHAnsi"/>
          <w:sz w:val="16"/>
          <w:szCs w:val="16"/>
          <w:lang w:val="en-GB"/>
        </w:rPr>
        <w:t>2 dated 30 November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5E49"/>
    <w:multiLevelType w:val="hybridMultilevel"/>
    <w:tmpl w:val="DE9A612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2D3A48E4"/>
    <w:multiLevelType w:val="hybridMultilevel"/>
    <w:tmpl w:val="215AF1A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365A5BEF"/>
    <w:multiLevelType w:val="hybridMultilevel"/>
    <w:tmpl w:val="41C8FE5C"/>
    <w:lvl w:ilvl="0" w:tplc="759AFFAE">
      <w:start w:val="1"/>
      <w:numFmt w:val="bullet"/>
      <w:lvlText w:val="-"/>
      <w:lvlJc w:val="left"/>
      <w:pPr>
        <w:ind w:left="720" w:hanging="360"/>
      </w:pPr>
      <w:rPr>
        <w:rFonts w:ascii="Calibri Light" w:eastAsiaTheme="minorHAnsi" w:hAnsi="Calibri Light" w:cs="Calibri Light"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FF137EF"/>
    <w:multiLevelType w:val="hybridMultilevel"/>
    <w:tmpl w:val="088C375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5C1560DF"/>
    <w:multiLevelType w:val="hybridMultilevel"/>
    <w:tmpl w:val="3654C2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80"/>
    <w:rsid w:val="00027CD1"/>
    <w:rsid w:val="00054AA8"/>
    <w:rsid w:val="00074F4E"/>
    <w:rsid w:val="000D4818"/>
    <w:rsid w:val="00160934"/>
    <w:rsid w:val="001B13F3"/>
    <w:rsid w:val="001C7838"/>
    <w:rsid w:val="00220C70"/>
    <w:rsid w:val="00231F2A"/>
    <w:rsid w:val="00253FBA"/>
    <w:rsid w:val="002D202D"/>
    <w:rsid w:val="003247B6"/>
    <w:rsid w:val="003B34B9"/>
    <w:rsid w:val="003E181C"/>
    <w:rsid w:val="004C4E30"/>
    <w:rsid w:val="0050653F"/>
    <w:rsid w:val="00514F94"/>
    <w:rsid w:val="005B0023"/>
    <w:rsid w:val="00600102"/>
    <w:rsid w:val="00657D41"/>
    <w:rsid w:val="006E2D8C"/>
    <w:rsid w:val="0077057B"/>
    <w:rsid w:val="007D637C"/>
    <w:rsid w:val="008530D7"/>
    <w:rsid w:val="00885819"/>
    <w:rsid w:val="00886D6B"/>
    <w:rsid w:val="008A7DC4"/>
    <w:rsid w:val="008D4B5B"/>
    <w:rsid w:val="00904C9B"/>
    <w:rsid w:val="00912757"/>
    <w:rsid w:val="00952993"/>
    <w:rsid w:val="009607F5"/>
    <w:rsid w:val="009B0F5D"/>
    <w:rsid w:val="009D00DC"/>
    <w:rsid w:val="009D326C"/>
    <w:rsid w:val="00A22F8D"/>
    <w:rsid w:val="00AA42C8"/>
    <w:rsid w:val="00AA7760"/>
    <w:rsid w:val="00AA7836"/>
    <w:rsid w:val="00AD2207"/>
    <w:rsid w:val="00AF48EB"/>
    <w:rsid w:val="00AF6B52"/>
    <w:rsid w:val="00B25479"/>
    <w:rsid w:val="00B632F7"/>
    <w:rsid w:val="00C67434"/>
    <w:rsid w:val="00CB1B2C"/>
    <w:rsid w:val="00CF1184"/>
    <w:rsid w:val="00D02E80"/>
    <w:rsid w:val="00D40A39"/>
    <w:rsid w:val="00D76271"/>
    <w:rsid w:val="00E034AD"/>
    <w:rsid w:val="00E44951"/>
    <w:rsid w:val="00E919E5"/>
    <w:rsid w:val="00FD005A"/>
    <w:rsid w:val="00FF4C0E"/>
    <w:rsid w:val="00FF775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86CF"/>
  <w15:chartTrackingRefBased/>
  <w15:docId w15:val="{969A249A-B2AF-4F6F-BA3A-B90A4867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2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E80"/>
    <w:rPr>
      <w:sz w:val="20"/>
      <w:szCs w:val="20"/>
    </w:rPr>
  </w:style>
  <w:style w:type="character" w:styleId="FootnoteReference">
    <w:name w:val="footnote reference"/>
    <w:basedOn w:val="DefaultParagraphFont"/>
    <w:uiPriority w:val="99"/>
    <w:semiHidden/>
    <w:unhideWhenUsed/>
    <w:rsid w:val="00D02E80"/>
    <w:rPr>
      <w:vertAlign w:val="superscript"/>
    </w:rPr>
  </w:style>
  <w:style w:type="table" w:styleId="TableGrid">
    <w:name w:val="Table Grid"/>
    <w:basedOn w:val="TableNormal"/>
    <w:uiPriority w:val="39"/>
    <w:rsid w:val="00D0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2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E80"/>
  </w:style>
  <w:style w:type="character" w:styleId="PageNumber">
    <w:name w:val="page number"/>
    <w:basedOn w:val="DefaultParagraphFont"/>
    <w:uiPriority w:val="99"/>
    <w:semiHidden/>
    <w:unhideWhenUsed/>
    <w:rsid w:val="00D02E80"/>
  </w:style>
  <w:style w:type="character" w:styleId="Hyperlink">
    <w:name w:val="Hyperlink"/>
    <w:basedOn w:val="DefaultParagraphFont"/>
    <w:uiPriority w:val="99"/>
    <w:unhideWhenUsed/>
    <w:rsid w:val="00D02E80"/>
    <w:rPr>
      <w:color w:val="0563C1" w:themeColor="hyperlink"/>
      <w:u w:val="single"/>
    </w:rPr>
  </w:style>
  <w:style w:type="paragraph" w:styleId="ListParagraph">
    <w:name w:val="List Paragraph"/>
    <w:basedOn w:val="Normal"/>
    <w:uiPriority w:val="34"/>
    <w:qFormat/>
    <w:rsid w:val="00D02E80"/>
    <w:pPr>
      <w:ind w:left="720"/>
      <w:contextualSpacing/>
    </w:pPr>
  </w:style>
  <w:style w:type="character" w:styleId="FollowedHyperlink">
    <w:name w:val="FollowedHyperlink"/>
    <w:basedOn w:val="DefaultParagraphFont"/>
    <w:uiPriority w:val="99"/>
    <w:semiHidden/>
    <w:unhideWhenUsed/>
    <w:rsid w:val="009D3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arboljare.me/" TargetMode="External"/><Relationship Id="rId2" Type="http://schemas.openxmlformats.org/officeDocument/2006/relationships/hyperlink" Target="http://www.uip.gov.me/inspekcije/opis_ekoloska" TargetMode="External"/><Relationship Id="rId1" Type="http://schemas.openxmlformats.org/officeDocument/2006/relationships/hyperlink" Target="http://www.mans.co.me/studija-slucaja-inspekcija-sakrila-informacije-o-nadzoru-radova-na-rijeci-t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4609-59DD-43C4-BCA9-311BD399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Pages>
  <Words>936</Words>
  <Characters>5018</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dc:creator>
  <cp:keywords/>
  <dc:description/>
  <cp:lastModifiedBy>Asus</cp:lastModifiedBy>
  <cp:revision>19</cp:revision>
  <dcterms:created xsi:type="dcterms:W3CDTF">2020-05-19T11:30:00Z</dcterms:created>
  <dcterms:modified xsi:type="dcterms:W3CDTF">2020-07-20T00:57:00Z</dcterms:modified>
</cp:coreProperties>
</file>