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E8" w:rsidRDefault="00017EE8" w:rsidP="00017EE8">
      <w:pPr>
        <w:spacing w:after="0" w:line="240" w:lineRule="auto"/>
        <w:jc w:val="right"/>
        <w:rPr>
          <w:rFonts w:ascii="Calibri" w:hAnsi="Calibri"/>
          <w:b/>
        </w:rPr>
      </w:pPr>
      <w:r>
        <w:rPr>
          <w:b/>
          <w:noProof/>
          <w:lang w:val="en-US"/>
        </w:rPr>
        <w:drawing>
          <wp:inline distT="0" distB="0" distL="0" distR="0" wp14:anchorId="74FC21FB" wp14:editId="07B07EF7">
            <wp:extent cx="891540" cy="1268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N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903" cy="1329016"/>
                    </a:xfrm>
                    <a:prstGeom prst="rect">
                      <a:avLst/>
                    </a:prstGeom>
                  </pic:spPr>
                </pic:pic>
              </a:graphicData>
            </a:graphic>
          </wp:inline>
        </w:drawing>
      </w:r>
    </w:p>
    <w:p w:rsidR="00017EE8" w:rsidRPr="00EC3B34" w:rsidRDefault="00017EE8" w:rsidP="00017EE8">
      <w:pPr>
        <w:spacing w:after="0" w:line="240" w:lineRule="auto"/>
        <w:jc w:val="right"/>
        <w:rPr>
          <w:rFonts w:ascii="Calibri" w:hAnsi="Calibri"/>
          <w:b/>
          <w:lang w:val="en-GB"/>
        </w:rPr>
      </w:pPr>
    </w:p>
    <w:p w:rsidR="00B51C6E" w:rsidRPr="00EC3B34" w:rsidRDefault="00B51C6E" w:rsidP="00B51C6E">
      <w:pPr>
        <w:spacing w:after="0" w:line="240" w:lineRule="auto"/>
        <w:jc w:val="right"/>
        <w:rPr>
          <w:rFonts w:ascii="Calibri" w:hAnsi="Calibri"/>
          <w:b/>
          <w:color w:val="0070C0"/>
          <w:lang w:val="en-GB"/>
        </w:rPr>
      </w:pPr>
      <w:r w:rsidRPr="00EC3B34">
        <w:rPr>
          <w:rFonts w:ascii="Calibri" w:hAnsi="Calibri"/>
          <w:b/>
          <w:color w:val="0070C0"/>
          <w:lang w:val="en-GB"/>
        </w:rPr>
        <w:t>Monitoring of the construction of priority section of the Bar-</w:t>
      </w:r>
      <w:proofErr w:type="spellStart"/>
      <w:r w:rsidRPr="00EC3B34">
        <w:rPr>
          <w:rFonts w:ascii="Calibri" w:hAnsi="Calibri"/>
          <w:b/>
          <w:color w:val="0070C0"/>
          <w:lang w:val="en-GB"/>
        </w:rPr>
        <w:t>Boljare</w:t>
      </w:r>
      <w:proofErr w:type="spellEnd"/>
      <w:r w:rsidRPr="00EC3B34">
        <w:rPr>
          <w:rFonts w:ascii="Calibri" w:hAnsi="Calibri"/>
          <w:b/>
          <w:color w:val="0070C0"/>
          <w:lang w:val="en-GB"/>
        </w:rPr>
        <w:t xml:space="preserve"> highway  </w:t>
      </w:r>
    </w:p>
    <w:p w:rsidR="00B51C6E" w:rsidRPr="00EC3B34" w:rsidRDefault="00B51C6E" w:rsidP="00B51C6E">
      <w:pPr>
        <w:spacing w:after="0" w:line="240" w:lineRule="auto"/>
        <w:jc w:val="right"/>
        <w:rPr>
          <w:rFonts w:ascii="Calibri" w:hAnsi="Calibri"/>
          <w:b/>
          <w:color w:val="0070C0"/>
          <w:lang w:val="en-GB"/>
        </w:rPr>
      </w:pPr>
      <w:r w:rsidRPr="00EC3B34">
        <w:rPr>
          <w:rFonts w:ascii="Calibri" w:hAnsi="Calibri"/>
          <w:b/>
          <w:color w:val="0070C0"/>
          <w:lang w:val="en-GB"/>
        </w:rPr>
        <w:t>(</w:t>
      </w:r>
      <w:proofErr w:type="spellStart"/>
      <w:r w:rsidRPr="00EC3B34">
        <w:rPr>
          <w:rFonts w:ascii="Calibri" w:hAnsi="Calibri"/>
          <w:b/>
          <w:color w:val="0070C0"/>
          <w:lang w:val="en-GB"/>
        </w:rPr>
        <w:t>Smokovac</w:t>
      </w:r>
      <w:proofErr w:type="spellEnd"/>
      <w:r w:rsidRPr="00EC3B34">
        <w:rPr>
          <w:rFonts w:ascii="Calibri" w:hAnsi="Calibri"/>
          <w:b/>
          <w:color w:val="0070C0"/>
          <w:lang w:val="en-GB"/>
        </w:rPr>
        <w:t xml:space="preserve"> - </w:t>
      </w:r>
      <w:proofErr w:type="spellStart"/>
      <w:r w:rsidRPr="00EC3B34">
        <w:rPr>
          <w:rFonts w:ascii="Calibri" w:hAnsi="Calibri"/>
          <w:b/>
          <w:color w:val="0070C0"/>
          <w:lang w:val="en-GB"/>
        </w:rPr>
        <w:t>Mateševo</w:t>
      </w:r>
      <w:proofErr w:type="spellEnd"/>
      <w:r w:rsidRPr="00EC3B34">
        <w:rPr>
          <w:rFonts w:ascii="Calibri" w:hAnsi="Calibri"/>
          <w:b/>
          <w:color w:val="0070C0"/>
          <w:lang w:val="en-GB"/>
        </w:rPr>
        <w:t xml:space="preserve"> section) </w:t>
      </w:r>
    </w:p>
    <w:p w:rsidR="00B51C6E" w:rsidRPr="00EC3B34" w:rsidRDefault="00B51C6E" w:rsidP="00B51C6E">
      <w:pPr>
        <w:spacing w:after="0" w:line="240" w:lineRule="auto"/>
        <w:jc w:val="right"/>
        <w:rPr>
          <w:rFonts w:ascii="Calibri" w:hAnsi="Calibri"/>
          <w:b/>
          <w:color w:val="0070C0"/>
          <w:lang w:val="en-GB"/>
        </w:rPr>
      </w:pPr>
      <w:r w:rsidRPr="00EC3B34">
        <w:rPr>
          <w:rFonts w:ascii="Calibri" w:hAnsi="Calibri"/>
          <w:b/>
          <w:color w:val="0070C0"/>
          <w:lang w:val="en-GB"/>
        </w:rPr>
        <w:t>2019/2020</w:t>
      </w:r>
    </w:p>
    <w:p w:rsidR="00B51C6E" w:rsidRPr="00EC3B34" w:rsidRDefault="00B51C6E" w:rsidP="00017EE8">
      <w:pPr>
        <w:spacing w:after="0" w:line="240" w:lineRule="auto"/>
        <w:jc w:val="right"/>
        <w:rPr>
          <w:rFonts w:ascii="Calibri" w:hAnsi="Calibri"/>
          <w:b/>
          <w:lang w:val="en-GB"/>
        </w:rPr>
      </w:pPr>
    </w:p>
    <w:p w:rsidR="00017EE8" w:rsidRPr="00EC3B34" w:rsidRDefault="00017EE8" w:rsidP="00017EE8">
      <w:pPr>
        <w:spacing w:after="0" w:line="240" w:lineRule="auto"/>
        <w:jc w:val="right"/>
        <w:rPr>
          <w:rFonts w:ascii="Calibri" w:hAnsi="Calibri"/>
          <w:b/>
          <w:lang w:val="en-GB"/>
        </w:rPr>
      </w:pPr>
    </w:p>
    <w:p w:rsidR="00017EE8" w:rsidRPr="00EC3B34" w:rsidRDefault="00017EE8" w:rsidP="00017EE8">
      <w:pPr>
        <w:spacing w:after="0" w:line="240" w:lineRule="auto"/>
        <w:jc w:val="right"/>
        <w:rPr>
          <w:rFonts w:ascii="Calibri" w:hAnsi="Calibri"/>
          <w:b/>
          <w:lang w:val="en-GB"/>
        </w:rPr>
      </w:pPr>
    </w:p>
    <w:p w:rsidR="00017EE8" w:rsidRPr="00EC3B34" w:rsidRDefault="00017EE8" w:rsidP="00017EE8">
      <w:pPr>
        <w:spacing w:after="0" w:line="240" w:lineRule="auto"/>
        <w:rPr>
          <w:rFonts w:ascii="Calibri" w:hAnsi="Calibri"/>
          <w:b/>
          <w:caps/>
          <w:color w:val="0070C0"/>
          <w:sz w:val="60"/>
          <w:szCs w:val="60"/>
          <w:lang w:val="en-GB"/>
        </w:rPr>
      </w:pPr>
    </w:p>
    <w:p w:rsidR="00017EE8" w:rsidRPr="00EC3B34" w:rsidRDefault="00AC36F5" w:rsidP="00017EE8">
      <w:pPr>
        <w:spacing w:after="0" w:line="240" w:lineRule="auto"/>
        <w:jc w:val="right"/>
        <w:rPr>
          <w:rFonts w:ascii="Calibri" w:hAnsi="Calibri"/>
          <w:b/>
          <w:caps/>
          <w:color w:val="0070C0"/>
          <w:sz w:val="60"/>
          <w:szCs w:val="60"/>
          <w:lang w:val="en-GB"/>
        </w:rPr>
      </w:pPr>
      <w:r w:rsidRPr="00EC3B34">
        <w:rPr>
          <w:rFonts w:ascii="Calibri" w:hAnsi="Calibri"/>
          <w:b/>
          <w:caps/>
          <w:color w:val="0070C0"/>
          <w:sz w:val="60"/>
          <w:szCs w:val="60"/>
          <w:lang w:val="en-GB"/>
        </w:rPr>
        <w:t>WORK OF THE</w:t>
      </w:r>
      <w:r w:rsidR="00017EE8" w:rsidRPr="00EC3B34">
        <w:rPr>
          <w:rFonts w:ascii="Calibri" w:hAnsi="Calibri"/>
          <w:b/>
          <w:caps/>
          <w:color w:val="0070C0"/>
          <w:sz w:val="60"/>
          <w:szCs w:val="60"/>
          <w:lang w:val="en-GB"/>
        </w:rPr>
        <w:t xml:space="preserve"> </w:t>
      </w:r>
      <w:r w:rsidRPr="00EC3B34">
        <w:rPr>
          <w:rFonts w:ascii="Calibri" w:hAnsi="Calibri"/>
          <w:b/>
          <w:caps/>
          <w:color w:val="0070C0"/>
          <w:sz w:val="60"/>
          <w:szCs w:val="60"/>
          <w:lang w:val="en-GB"/>
        </w:rPr>
        <w:t>COMMISSION FOR TECHNICAL INSPECTION OF WORKS ON THE BAR - BOLJARE HIGHWAY</w:t>
      </w:r>
      <w:r w:rsidR="00F646BC" w:rsidRPr="00EC3B34">
        <w:rPr>
          <w:rFonts w:ascii="Calibri" w:hAnsi="Calibri"/>
          <w:b/>
          <w:caps/>
          <w:color w:val="0070C0"/>
          <w:sz w:val="60"/>
          <w:szCs w:val="60"/>
          <w:lang w:val="en-GB"/>
        </w:rPr>
        <w:t xml:space="preserve"> </w:t>
      </w:r>
    </w:p>
    <w:p w:rsidR="00B51C6E" w:rsidRPr="00EC3B34" w:rsidRDefault="00017EE8" w:rsidP="00B51C6E">
      <w:pPr>
        <w:jc w:val="right"/>
        <w:rPr>
          <w:rFonts w:ascii="Calibri" w:hAnsi="Calibri"/>
          <w:b/>
          <w:color w:val="0070C0"/>
          <w:lang w:val="en-GB"/>
        </w:rPr>
      </w:pPr>
      <w:r w:rsidRPr="00EC3B34">
        <w:rPr>
          <w:b/>
          <w:lang w:val="en-GB"/>
        </w:rPr>
        <mc:AlternateContent>
          <mc:Choice Requires="wps">
            <w:drawing>
              <wp:anchor distT="0" distB="0" distL="114300" distR="114300" simplePos="0" relativeHeight="251661312" behindDoc="0" locked="0" layoutInCell="1" allowOverlap="1" wp14:anchorId="1903890C" wp14:editId="37AD577E">
                <wp:simplePos x="0" y="0"/>
                <wp:positionH relativeFrom="column">
                  <wp:posOffset>0</wp:posOffset>
                </wp:positionH>
                <wp:positionV relativeFrom="paragraph">
                  <wp:posOffset>0</wp:posOffset>
                </wp:positionV>
                <wp:extent cx="5818909" cy="0"/>
                <wp:effectExtent l="0" t="0" r="10795" b="12700"/>
                <wp:wrapNone/>
                <wp:docPr id="10" name="Straight Connector 10"/>
                <wp:cNvGraphicFramePr/>
                <a:graphic xmlns:a="http://schemas.openxmlformats.org/drawingml/2006/main">
                  <a:graphicData uri="http://schemas.microsoft.com/office/word/2010/wordprocessingShape">
                    <wps:wsp>
                      <wps:cNvCnPr/>
                      <wps:spPr>
                        <a:xfrm>
                          <a:off x="0" y="0"/>
                          <a:ext cx="5818909"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48E13590" id="Straight Connector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XJygEAAHYDAAAOAAAAZHJzL2Uyb0RvYy54bWysU01v2zAMvQ/ofxB0b+x0SJEYcQo0QXcZ&#10;tgDdfgAjy7YAfYHU4uTfj1LSrNtuw3JQSJF85Hui108nZ8VRI5ngWzmf1VJor0Jn/NDK799e7pdS&#10;UALfgQ1et/KsST5t7j6sp9johzAG22kUDOKpmWIrx5RiU1WkRu2AZiFqz8E+oIPELg5VhzAxurPV&#10;Q10/VlPALmJQmohvd5eg3BT8vtcqfe170knYVvJsqZxYzkM+q80amgEhjkZdx4B/mMKB8dz0BrWD&#10;BOIHmr+gnFEYKPRppoKrQt8bpQsHZjOv/2DzOkLUhQuLQ/EmE/0/WPXluEdhOn47lseD4zd6TQhm&#10;GJPYBu9ZwYCCg6zUFKnhgq3f49WjuMdM+9Sjy/9MSJyKuuebuvqUhOLLxXK+XNUrKdRbrPpVGJHS&#10;Jx2cyEYrrfGZODRw/EyJm3HqW0q+9uHFWFsez3oxtfLx44LnV8Ar1FtIbLrIpMgPUoAdeDdVwoJI&#10;wZouV2ccwuGwtSiOwPuxeF497xaZKHf7LS233gGNl7wSumyOM4nX1xrXymWdf9dq6zO6Lgt4JZDF&#10;u8iVrUPozkXFKnv8uKXpdRHz9rz32X7/uWx+AgAA//8DAFBLAwQUAAYACAAAACEARgpW6doAAAAC&#10;AQAADwAAAGRycy9kb3ducmV2LnhtbEyPQUsDMRCF74L/IYzgzWZbtNh1s6UUhApSaBWst9nNdHdp&#10;MlmStF3/vamXennweMN73xTzwRpxIh86xwrGowwEce10x42Cz4/Xh2cQISJrNI5JwQ8FmJe3NwXm&#10;2p15Q6dtbEQq4ZCjgjbGPpcy1C1ZDCPXE6ds77zFmKxvpPZ4TuXWyEmWTaXFjtNCiz0tW6oP26NV&#10;UK293z19f/Vm8b7J1kNYOf+2Uur+bli8gIg0xOsxXPATOpSJqXJH1kEYBemR+Kcpm42njyCqi5Vl&#10;If+jl78AAAD//wMAUEsBAi0AFAAGAAgAAAAhALaDOJL+AAAA4QEAABMAAAAAAAAAAAAAAAAAAAAA&#10;AFtDb250ZW50X1R5cGVzXS54bWxQSwECLQAUAAYACAAAACEAOP0h/9YAAACUAQAACwAAAAAAAAAA&#10;AAAAAAAvAQAAX3JlbHMvLnJlbHNQSwECLQAUAAYACAAAACEAPSoVycoBAAB2AwAADgAAAAAAAAAA&#10;AAAAAAAuAgAAZHJzL2Uyb0RvYy54bWxQSwECLQAUAAYACAAAACEARgpW6doAAAACAQAADwAAAAAA&#10;AAAAAAAAAAAkBAAAZHJzL2Rvd25yZXYueG1sUEsFBgAAAAAEAAQA8wAAACsFAAAAAA==&#10;" strokecolor="#5b9bd5" strokeweight=".5pt">
                <v:stroke joinstyle="miter"/>
              </v:line>
            </w:pict>
          </mc:Fallback>
        </mc:AlternateContent>
      </w:r>
      <w:r w:rsidR="00B51C6E" w:rsidRPr="00EC3B34">
        <w:rPr>
          <w:lang w:val="en-GB"/>
        </w:rPr>
        <w:t xml:space="preserve"> </w:t>
      </w:r>
      <w:r w:rsidR="00B51C6E" w:rsidRPr="00EC3B34">
        <w:rPr>
          <w:rFonts w:ascii="Calibri" w:hAnsi="Calibri"/>
          <w:b/>
          <w:color w:val="0070C0"/>
          <w:lang w:val="en-GB"/>
        </w:rPr>
        <w:t>Analysis of the actions of state institutions</w:t>
      </w:r>
    </w:p>
    <w:p w:rsidR="00017EE8" w:rsidRPr="00EC3B34" w:rsidRDefault="00017EE8" w:rsidP="00017EE8">
      <w:pPr>
        <w:spacing w:after="0" w:line="240" w:lineRule="auto"/>
        <w:jc w:val="right"/>
        <w:rPr>
          <w:rFonts w:ascii="Calibri" w:hAnsi="Calibri"/>
          <w:b/>
          <w:caps/>
          <w:color w:val="0070C0"/>
          <w:sz w:val="60"/>
          <w:szCs w:val="60"/>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rFonts w:ascii="Calibri" w:hAnsi="Calibri"/>
          <w:b/>
          <w:lang w:val="en-GB"/>
        </w:rPr>
      </w:pPr>
    </w:p>
    <w:p w:rsidR="00017EE8" w:rsidRPr="00EC3B34" w:rsidRDefault="00017EE8" w:rsidP="00017EE8">
      <w:pPr>
        <w:spacing w:after="0" w:line="240" w:lineRule="auto"/>
        <w:jc w:val="both"/>
        <w:rPr>
          <w:b/>
          <w:lang w:val="en-GB"/>
        </w:rPr>
      </w:pPr>
    </w:p>
    <w:p w:rsidR="00017EE8" w:rsidRPr="00EC3B34" w:rsidRDefault="00017EE8" w:rsidP="00017EE8">
      <w:pPr>
        <w:spacing w:after="0" w:line="240" w:lineRule="auto"/>
        <w:jc w:val="both"/>
        <w:rPr>
          <w:b/>
          <w:lang w:val="en-GB"/>
        </w:rPr>
      </w:pPr>
    </w:p>
    <w:p w:rsidR="00017EE8" w:rsidRPr="00EC3B34" w:rsidRDefault="00017EE8" w:rsidP="00017EE8">
      <w:pPr>
        <w:spacing w:after="0" w:line="240" w:lineRule="auto"/>
        <w:jc w:val="both"/>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6163"/>
        <w:gridCol w:w="1498"/>
      </w:tblGrid>
      <w:tr w:rsidR="00017EE8" w:rsidRPr="00EC3B34" w:rsidTr="00B07DB7">
        <w:tc>
          <w:tcPr>
            <w:tcW w:w="1413" w:type="dxa"/>
          </w:tcPr>
          <w:p w:rsidR="00017EE8" w:rsidRPr="00EC3B34" w:rsidRDefault="00017EE8" w:rsidP="00B07DB7">
            <w:pPr>
              <w:jc w:val="both"/>
              <w:rPr>
                <w:b/>
                <w:lang w:val="en-GB"/>
              </w:rPr>
            </w:pPr>
            <w:r w:rsidRPr="00EC3B34">
              <w:rPr>
                <w:b/>
                <w:lang w:val="en-GB"/>
              </w:rPr>
              <w:drawing>
                <wp:anchor distT="0" distB="0" distL="114300" distR="114300" simplePos="0" relativeHeight="251662336" behindDoc="0" locked="0" layoutInCell="1" allowOverlap="1" wp14:anchorId="10025737" wp14:editId="44D895AC">
                  <wp:simplePos x="0" y="0"/>
                  <wp:positionH relativeFrom="column">
                    <wp:posOffset>-3810</wp:posOffset>
                  </wp:positionH>
                  <wp:positionV relativeFrom="paragraph">
                    <wp:posOffset>90436</wp:posOffset>
                  </wp:positionV>
                  <wp:extent cx="723600" cy="500400"/>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European-Union-Flag-icon.png"/>
                          <pic:cNvPicPr/>
                        </pic:nvPicPr>
                        <pic:blipFill rotWithShape="1">
                          <a:blip r:embed="rId9" cstate="print">
                            <a:extLst>
                              <a:ext uri="{28A0092B-C50C-407E-A947-70E740481C1C}">
                                <a14:useLocalDpi xmlns:a14="http://schemas.microsoft.com/office/drawing/2010/main" val="0"/>
                              </a:ext>
                            </a:extLst>
                          </a:blip>
                          <a:srcRect t="15246" b="15504"/>
                          <a:stretch/>
                        </pic:blipFill>
                        <pic:spPr bwMode="auto">
                          <a:xfrm>
                            <a:off x="0" y="0"/>
                            <a:ext cx="723600" cy="500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64" w:type="dxa"/>
          </w:tcPr>
          <w:p w:rsidR="00017EE8" w:rsidRPr="00EC3B34" w:rsidRDefault="00B51C6E" w:rsidP="00B07DB7">
            <w:pPr>
              <w:jc w:val="both"/>
              <w:rPr>
                <w:rFonts w:asciiTheme="minorHAnsi" w:hAnsiTheme="minorHAnsi"/>
                <w:bCs/>
                <w:sz w:val="18"/>
                <w:szCs w:val="18"/>
                <w:lang w:val="en-GB"/>
              </w:rPr>
            </w:pPr>
            <w:r w:rsidRPr="00EC3B34">
              <w:rPr>
                <w:rFonts w:asciiTheme="minorHAnsi" w:hAnsiTheme="minorHAnsi"/>
                <w:bCs/>
                <w:color w:val="BFBFBF" w:themeColor="background1" w:themeShade="BF"/>
                <w:sz w:val="18"/>
                <w:szCs w:val="18"/>
                <w:lang w:val="en-GB"/>
              </w:rPr>
              <w:t xml:space="preserve">The study is a part of the project "Active citizens for Montenegro - towards the rule of law and sustainable development of Montenegro" funded by the European Union through the Delegation of the European Union to Montenegro, and implemented by the NGO Network for Affirmation of NGO Sector - MANS. The opinions and views taken herein </w:t>
            </w:r>
            <w:proofErr w:type="gramStart"/>
            <w:r w:rsidRPr="00EC3B34">
              <w:rPr>
                <w:rFonts w:asciiTheme="minorHAnsi" w:hAnsiTheme="minorHAnsi"/>
                <w:bCs/>
                <w:color w:val="BFBFBF" w:themeColor="background1" w:themeShade="BF"/>
                <w:sz w:val="18"/>
                <w:szCs w:val="18"/>
                <w:lang w:val="en-GB"/>
              </w:rPr>
              <w:t>shall not in any case be considered</w:t>
            </w:r>
            <w:proofErr w:type="gramEnd"/>
            <w:r w:rsidRPr="00EC3B34">
              <w:rPr>
                <w:rFonts w:asciiTheme="minorHAnsi" w:hAnsiTheme="minorHAnsi"/>
                <w:bCs/>
                <w:color w:val="BFBFBF" w:themeColor="background1" w:themeShade="BF"/>
                <w:sz w:val="18"/>
                <w:szCs w:val="18"/>
                <w:lang w:val="en-GB"/>
              </w:rPr>
              <w:t xml:space="preserve"> as those of the donors that financially supported the project.</w:t>
            </w:r>
          </w:p>
        </w:tc>
        <w:tc>
          <w:tcPr>
            <w:tcW w:w="1285" w:type="dxa"/>
          </w:tcPr>
          <w:p w:rsidR="00017EE8" w:rsidRPr="00EC3B34" w:rsidRDefault="00017EE8" w:rsidP="00B07DB7">
            <w:pPr>
              <w:jc w:val="both"/>
              <w:rPr>
                <w:b/>
                <w:lang w:val="en-GB"/>
              </w:rPr>
            </w:pPr>
            <w:r w:rsidRPr="00EC3B34">
              <w:rPr>
                <w:b/>
                <w:lang w:val="en-GB"/>
              </w:rPr>
              <w:drawing>
                <wp:inline distT="0" distB="0" distL="0" distR="0" wp14:anchorId="43F2C645" wp14:editId="53AD164A">
                  <wp:extent cx="814426" cy="5215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0-05-08 at 16.05.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3601" cy="546605"/>
                          </a:xfrm>
                          <a:prstGeom prst="rect">
                            <a:avLst/>
                          </a:prstGeom>
                        </pic:spPr>
                      </pic:pic>
                    </a:graphicData>
                  </a:graphic>
                </wp:inline>
              </w:drawing>
            </w:r>
          </w:p>
        </w:tc>
      </w:tr>
    </w:tbl>
    <w:p w:rsidR="00017EE8" w:rsidRPr="00EC3B34" w:rsidRDefault="00B51C6E" w:rsidP="00017EE8">
      <w:pPr>
        <w:spacing w:after="0" w:line="240" w:lineRule="auto"/>
        <w:jc w:val="both"/>
        <w:rPr>
          <w:rFonts w:asciiTheme="majorHAnsi" w:hAnsiTheme="majorHAnsi" w:cstheme="majorHAnsi"/>
          <w:bCs/>
          <w:color w:val="BFBFBF" w:themeColor="background1" w:themeShade="BF"/>
          <w:lang w:val="en-GB"/>
        </w:rPr>
      </w:pPr>
      <w:r w:rsidRPr="00EC3B34">
        <w:rPr>
          <w:rFonts w:asciiTheme="majorHAnsi" w:hAnsiTheme="majorHAnsi" w:cstheme="majorHAnsi"/>
          <w:bCs/>
          <w:color w:val="BFBFBF" w:themeColor="background1" w:themeShade="BF"/>
          <w:lang w:val="en-GB"/>
        </w:rPr>
        <w:t>CASE STUDY</w:t>
      </w:r>
    </w:p>
    <w:p w:rsidR="00017EE8" w:rsidRPr="00EC3B34" w:rsidRDefault="00017EE8" w:rsidP="00017EE8">
      <w:pPr>
        <w:spacing w:after="0" w:line="240" w:lineRule="auto"/>
        <w:jc w:val="both"/>
        <w:rPr>
          <w:b/>
          <w:lang w:val="en-GB"/>
        </w:rPr>
      </w:pPr>
      <w:r w:rsidRPr="00EC3B34">
        <w:rPr>
          <w:b/>
          <w:lang w:val="en-GB"/>
        </w:rPr>
        <w:lastRenderedPageBreak/>
        <mc:AlternateContent>
          <mc:Choice Requires="wps">
            <w:drawing>
              <wp:anchor distT="0" distB="0" distL="114300" distR="114300" simplePos="0" relativeHeight="251659264" behindDoc="0" locked="0" layoutInCell="1" allowOverlap="1" wp14:anchorId="323CEAD4" wp14:editId="6609879A">
                <wp:simplePos x="0" y="0"/>
                <wp:positionH relativeFrom="column">
                  <wp:posOffset>-2021</wp:posOffset>
                </wp:positionH>
                <wp:positionV relativeFrom="paragraph">
                  <wp:posOffset>79721</wp:posOffset>
                </wp:positionV>
                <wp:extent cx="5818909" cy="0"/>
                <wp:effectExtent l="0" t="0" r="10795" b="12700"/>
                <wp:wrapNone/>
                <wp:docPr id="8" name="Straight Connector 8"/>
                <wp:cNvGraphicFramePr/>
                <a:graphic xmlns:a="http://schemas.openxmlformats.org/drawingml/2006/main">
                  <a:graphicData uri="http://schemas.microsoft.com/office/word/2010/wordprocessingShape">
                    <wps:wsp>
                      <wps:cNvCnPr/>
                      <wps:spPr>
                        <a:xfrm>
                          <a:off x="0" y="0"/>
                          <a:ext cx="5818909"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E96E5EC"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3pt" to="458.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zXyQEAAHQDAAAOAAAAZHJzL2Uyb0RvYy54bWysU01v2zAMvQ/ofxB0b+x0SJEYcQo0QXcZ&#10;tgDdfgAjy7YAfYHU4uTfj1LSrNtuw3JQSIl61Ht8Xj+dnBVHjWSCb+V8VkuhvQqd8UMrv397uV9K&#10;QQl8BzZ43cqzJvm0ufuwnmKjH8IYbKdRMIinZoqtHFOKTVWRGrUDmoWoPR/2AR0kTnGoOoSJ0Z2t&#10;Hur6sZoCdhGD0kS8u7scyk3B73ut0te+J52EbSW/LZUVy3rIa7VZQzMgxNGo6zPgH17hwHhueoPa&#10;QQLxA81fUM4oDBT6NFPBVaHvjdKFA7OZ13+weR0h6sKFxaF4k4n+H6z6ctyjMF0reVAeHI/oNSGY&#10;YUxiG7xnAQOKZdZpitRw+dbv8ZpR3GMmferR5X+mI05F2/NNW31KQvHmYjlfruqVFOrtrPp1MSKl&#10;Tzo4kYNWWuMzbWjg+JkSN+PSt5K87cOLsbaMznoxtfLx44KHq4AN1FtIHLrIlMgPUoAd2JkqYUGk&#10;YE2Xb2ccwuGwtSiOwO5YPK+ed4tMlLv9VpZb74DGS105uvjGmcTmtcaxenX+XW9bn9F1sd+VQBbv&#10;IleODqE7FxWrnPFoS9OrDbN33uccv/9YNj8BAAD//wMAUEsDBBQABgAIAAAAIQDRh06o2wAAAAcB&#10;AAAPAAAAZHJzL2Rvd25yZXYueG1sTI5fS8MwFMXfBb9DuIJvW9qJxdWmYwjCBBlsCtO3tLm2xeSm&#10;JNlWv71XfNDH84dzftVqclacMMTBk4J8noFAar0ZqFPw+vI4uwMRkyajrSdU8IURVvXlRaVL48+0&#10;w9M+dYJHKJZaQZ/SWEoZ2x6djnM/InH24YPTiWXopAn6zOPOykWWFdLpgfih1yM+9Nh+7o9OQbMN&#10;4e32/TDa9fMu205x48PTRqnrq2l9DyLhlP7K8IPP6FAzU+OPZKKwCmY3XGR7UYDgeJkXOYjm15B1&#10;Jf/z198AAAD//wMAUEsBAi0AFAAGAAgAAAAhALaDOJL+AAAA4QEAABMAAAAAAAAAAAAAAAAAAAAA&#10;AFtDb250ZW50X1R5cGVzXS54bWxQSwECLQAUAAYACAAAACEAOP0h/9YAAACUAQAACwAAAAAAAAAA&#10;AAAAAAAvAQAAX3JlbHMvLnJlbHNQSwECLQAUAAYACAAAACEALX4c18kBAAB0AwAADgAAAAAAAAAA&#10;AAAAAAAuAgAAZHJzL2Uyb0RvYy54bWxQSwECLQAUAAYACAAAACEA0YdOqNsAAAAHAQAADwAAAAAA&#10;AAAAAAAAAAAjBAAAZHJzL2Rvd25yZXYueG1sUEsFBgAAAAAEAAQA8wAAACsFAAAAAA==&#10;" strokecolor="#5b9bd5" strokeweight=".5pt">
                <v:stroke joinstyle="miter"/>
              </v:line>
            </w:pict>
          </mc:Fallback>
        </mc:AlternateContent>
      </w:r>
    </w:p>
    <w:p w:rsidR="00017EE8" w:rsidRPr="00EC3B34" w:rsidRDefault="00AC36F5" w:rsidP="00017EE8">
      <w:pPr>
        <w:spacing w:after="0" w:line="240" w:lineRule="auto"/>
        <w:jc w:val="both"/>
        <w:rPr>
          <w:rFonts w:asciiTheme="majorHAnsi" w:hAnsiTheme="majorHAnsi" w:cstheme="majorHAnsi"/>
          <w:b/>
          <w:color w:val="5B9BD5" w:themeColor="accent1"/>
          <w:sz w:val="36"/>
          <w:szCs w:val="36"/>
          <w:lang w:val="en-GB"/>
        </w:rPr>
      </w:pPr>
      <w:r w:rsidRPr="00EC3B34">
        <w:rPr>
          <w:rFonts w:asciiTheme="majorHAnsi" w:hAnsiTheme="majorHAnsi" w:cstheme="majorHAnsi"/>
          <w:b/>
          <w:color w:val="5B9BD5" w:themeColor="accent1"/>
          <w:sz w:val="36"/>
          <w:szCs w:val="36"/>
          <w:lang w:val="en-GB"/>
        </w:rPr>
        <w:t xml:space="preserve">Work of the Commission for technical inspection of works on the Bar - </w:t>
      </w:r>
      <w:proofErr w:type="spellStart"/>
      <w:r w:rsidRPr="00EC3B34">
        <w:rPr>
          <w:rFonts w:asciiTheme="majorHAnsi" w:hAnsiTheme="majorHAnsi" w:cstheme="majorHAnsi"/>
          <w:b/>
          <w:color w:val="5B9BD5" w:themeColor="accent1"/>
          <w:sz w:val="36"/>
          <w:szCs w:val="36"/>
          <w:lang w:val="en-GB"/>
        </w:rPr>
        <w:t>Boljare</w:t>
      </w:r>
      <w:proofErr w:type="spellEnd"/>
      <w:r w:rsidRPr="00EC3B34">
        <w:rPr>
          <w:rFonts w:asciiTheme="majorHAnsi" w:hAnsiTheme="majorHAnsi" w:cstheme="majorHAnsi"/>
          <w:b/>
          <w:color w:val="5B9BD5" w:themeColor="accent1"/>
          <w:sz w:val="36"/>
          <w:szCs w:val="36"/>
          <w:lang w:val="en-GB"/>
        </w:rPr>
        <w:t xml:space="preserve"> highway and installation </w:t>
      </w:r>
      <w:r w:rsidR="00847B33">
        <w:rPr>
          <w:rFonts w:asciiTheme="majorHAnsi" w:hAnsiTheme="majorHAnsi" w:cstheme="majorHAnsi"/>
          <w:b/>
          <w:color w:val="5B9BD5" w:themeColor="accent1"/>
          <w:sz w:val="36"/>
          <w:szCs w:val="36"/>
          <w:lang w:val="en-GB"/>
        </w:rPr>
        <w:t xml:space="preserve">of </w:t>
      </w:r>
      <w:r w:rsidR="00847B33" w:rsidRPr="00847B33">
        <w:rPr>
          <w:rFonts w:asciiTheme="majorHAnsi" w:hAnsiTheme="majorHAnsi" w:cstheme="majorHAnsi"/>
          <w:b/>
          <w:color w:val="5B9BD5" w:themeColor="accent1"/>
          <w:sz w:val="36"/>
          <w:szCs w:val="36"/>
          <w:lang w:val="en-GB"/>
        </w:rPr>
        <w:t xml:space="preserve">concrete </w:t>
      </w:r>
      <w:r w:rsidRPr="00EC3B34">
        <w:rPr>
          <w:rFonts w:asciiTheme="majorHAnsi" w:hAnsiTheme="majorHAnsi" w:cstheme="majorHAnsi"/>
          <w:b/>
          <w:color w:val="5B9BD5" w:themeColor="accent1"/>
          <w:sz w:val="36"/>
          <w:szCs w:val="36"/>
          <w:lang w:val="en-GB"/>
        </w:rPr>
        <w:t>without quality assessment</w:t>
      </w:r>
    </w:p>
    <w:p w:rsidR="00017EE8" w:rsidRPr="00EC3B34" w:rsidRDefault="00017EE8" w:rsidP="00017EE8">
      <w:pPr>
        <w:spacing w:after="0" w:line="240" w:lineRule="auto"/>
        <w:jc w:val="both"/>
        <w:rPr>
          <w:rFonts w:asciiTheme="majorHAnsi" w:hAnsiTheme="majorHAnsi" w:cstheme="majorHAnsi"/>
          <w:b/>
          <w:color w:val="5B9BD5" w:themeColor="accent1"/>
          <w:szCs w:val="36"/>
          <w:lang w:val="en-GB"/>
        </w:rPr>
      </w:pPr>
    </w:p>
    <w:p w:rsidR="00247D77" w:rsidRPr="00EC3B34" w:rsidRDefault="00247D77" w:rsidP="00645AD9">
      <w:pPr>
        <w:spacing w:after="0" w:line="240" w:lineRule="auto"/>
        <w:jc w:val="both"/>
        <w:rPr>
          <w:rFonts w:asciiTheme="majorHAnsi" w:hAnsiTheme="majorHAnsi" w:cstheme="majorHAnsi"/>
          <w:lang w:val="en-GB"/>
        </w:rPr>
      </w:pPr>
      <w:r w:rsidRPr="00EC3B34">
        <w:rPr>
          <w:rFonts w:asciiTheme="majorHAnsi" w:hAnsiTheme="majorHAnsi" w:cstheme="majorHAnsi"/>
          <w:lang w:val="en-GB"/>
        </w:rPr>
        <w:t xml:space="preserve">State Commission for technical inspection of works on the </w:t>
      </w:r>
      <w:r w:rsidR="00847B33" w:rsidRPr="00EC3B34">
        <w:rPr>
          <w:rFonts w:asciiTheme="majorHAnsi" w:hAnsiTheme="majorHAnsi" w:cstheme="majorHAnsi"/>
          <w:lang w:val="en-GB"/>
        </w:rPr>
        <w:t>cons</w:t>
      </w:r>
      <w:r w:rsidRPr="00EC3B34">
        <w:rPr>
          <w:rFonts w:asciiTheme="majorHAnsi" w:hAnsiTheme="majorHAnsi" w:cstheme="majorHAnsi"/>
          <w:lang w:val="en-GB"/>
        </w:rPr>
        <w:t xml:space="preserve">truction of the Bar - </w:t>
      </w:r>
      <w:proofErr w:type="spellStart"/>
      <w:r w:rsidRPr="00EC3B34">
        <w:rPr>
          <w:rFonts w:asciiTheme="majorHAnsi" w:hAnsiTheme="majorHAnsi" w:cstheme="majorHAnsi"/>
          <w:lang w:val="en-GB"/>
        </w:rPr>
        <w:t>Boljare</w:t>
      </w:r>
      <w:proofErr w:type="spellEnd"/>
      <w:r w:rsidRPr="00EC3B34">
        <w:rPr>
          <w:rFonts w:asciiTheme="majorHAnsi" w:hAnsiTheme="majorHAnsi" w:cstheme="majorHAnsi"/>
          <w:lang w:val="en-GB"/>
        </w:rPr>
        <w:t xml:space="preserve"> Highway, Section </w:t>
      </w:r>
      <w:proofErr w:type="spellStart"/>
      <w:r w:rsidRPr="00EC3B34">
        <w:rPr>
          <w:rFonts w:asciiTheme="majorHAnsi" w:hAnsiTheme="majorHAnsi" w:cstheme="majorHAnsi"/>
          <w:lang w:val="en-GB"/>
        </w:rPr>
        <w:t>Smokovac</w:t>
      </w:r>
      <w:proofErr w:type="spellEnd"/>
      <w:r w:rsidRPr="00EC3B34">
        <w:rPr>
          <w:rFonts w:asciiTheme="majorHAnsi" w:hAnsiTheme="majorHAnsi" w:cstheme="majorHAnsi"/>
          <w:lang w:val="en-GB"/>
        </w:rPr>
        <w:t xml:space="preserve"> - </w:t>
      </w:r>
      <w:proofErr w:type="spellStart"/>
      <w:r w:rsidRPr="00EC3B34">
        <w:rPr>
          <w:rFonts w:asciiTheme="majorHAnsi" w:hAnsiTheme="majorHAnsi" w:cstheme="majorHAnsi"/>
          <w:lang w:val="en-GB"/>
        </w:rPr>
        <w:t>Mateševo</w:t>
      </w:r>
      <w:proofErr w:type="spellEnd"/>
      <w:r w:rsidRPr="00EC3B34">
        <w:rPr>
          <w:rFonts w:asciiTheme="majorHAnsi" w:hAnsiTheme="majorHAnsi" w:cstheme="majorHAnsi"/>
          <w:lang w:val="en-GB"/>
        </w:rPr>
        <w:t xml:space="preserve">, </w:t>
      </w:r>
      <w:proofErr w:type="gramStart"/>
      <w:r w:rsidRPr="00EC3B34">
        <w:rPr>
          <w:rFonts w:asciiTheme="majorHAnsi" w:hAnsiTheme="majorHAnsi" w:cstheme="majorHAnsi"/>
          <w:lang w:val="en-GB"/>
        </w:rPr>
        <w:t>was established</w:t>
      </w:r>
      <w:proofErr w:type="gramEnd"/>
      <w:r w:rsidRPr="00EC3B34">
        <w:rPr>
          <w:rFonts w:asciiTheme="majorHAnsi" w:hAnsiTheme="majorHAnsi" w:cstheme="majorHAnsi"/>
          <w:lang w:val="en-GB"/>
        </w:rPr>
        <w:t xml:space="preserve"> in May 2015, after the start of works on the construction of the first section of the highway.</w:t>
      </w:r>
      <w:r w:rsidRPr="00EC3B34">
        <w:rPr>
          <w:rStyle w:val="FootnoteReference"/>
          <w:rFonts w:asciiTheme="majorHAnsi" w:hAnsiTheme="majorHAnsi" w:cstheme="majorHAnsi"/>
          <w:lang w:val="en-GB"/>
        </w:rPr>
        <w:footnoteReference w:id="1"/>
      </w:r>
      <w:r w:rsidRPr="00EC3B34">
        <w:rPr>
          <w:lang w:val="en-GB"/>
        </w:rPr>
        <w:t xml:space="preserve"> </w:t>
      </w:r>
      <w:r w:rsidRPr="00EC3B34">
        <w:rPr>
          <w:rFonts w:asciiTheme="majorHAnsi" w:hAnsiTheme="majorHAnsi" w:cstheme="majorHAnsi"/>
          <w:lang w:val="en-GB"/>
        </w:rPr>
        <w:t xml:space="preserve">It consists of 27 domestic experts and representatives of institutions, who coordinate technical inspection of works performed on the highway. The </w:t>
      </w:r>
      <w:r w:rsidR="007C0648" w:rsidRPr="00EC3B34">
        <w:rPr>
          <w:rFonts w:asciiTheme="majorHAnsi" w:hAnsiTheme="majorHAnsi" w:cstheme="majorHAnsi"/>
          <w:lang w:val="en-GB"/>
        </w:rPr>
        <w:t>document</w:t>
      </w:r>
      <w:r w:rsidRPr="00EC3B34">
        <w:rPr>
          <w:rFonts w:asciiTheme="majorHAnsi" w:hAnsiTheme="majorHAnsi" w:cstheme="majorHAnsi"/>
          <w:lang w:val="en-GB"/>
        </w:rPr>
        <w:t xml:space="preserve"> establishing the commission stipulates that its work is a business </w:t>
      </w:r>
      <w:proofErr w:type="gramStart"/>
      <w:r w:rsidRPr="00EC3B34">
        <w:rPr>
          <w:rFonts w:asciiTheme="majorHAnsi" w:hAnsiTheme="majorHAnsi" w:cstheme="majorHAnsi"/>
          <w:lang w:val="en-GB"/>
        </w:rPr>
        <w:t>secret,</w:t>
      </w:r>
      <w:proofErr w:type="gramEnd"/>
      <w:r w:rsidRPr="00EC3B34">
        <w:rPr>
          <w:rFonts w:asciiTheme="majorHAnsi" w:hAnsiTheme="majorHAnsi" w:cstheme="majorHAnsi"/>
          <w:lang w:val="en-GB"/>
        </w:rPr>
        <w:t xml:space="preserve"> and that none of its members has the authority to disclose any information related to its work and </w:t>
      </w:r>
      <w:r w:rsidR="007C0648" w:rsidRPr="00EC3B34">
        <w:rPr>
          <w:rFonts w:asciiTheme="majorHAnsi" w:hAnsiTheme="majorHAnsi" w:cstheme="majorHAnsi"/>
          <w:lang w:val="en-GB"/>
        </w:rPr>
        <w:t>competences</w:t>
      </w:r>
      <w:r w:rsidRPr="00EC3B34">
        <w:rPr>
          <w:rFonts w:asciiTheme="majorHAnsi" w:hAnsiTheme="majorHAnsi" w:cstheme="majorHAnsi"/>
          <w:lang w:val="en-GB"/>
        </w:rPr>
        <w:t>.</w:t>
      </w:r>
      <w:r w:rsidR="007C0648" w:rsidRPr="00EC3B34">
        <w:rPr>
          <w:rStyle w:val="FootnoteReference"/>
          <w:rFonts w:asciiTheme="majorHAnsi" w:hAnsiTheme="majorHAnsi" w:cstheme="majorHAnsi"/>
          <w:lang w:val="en-GB"/>
        </w:rPr>
        <w:footnoteReference w:id="2"/>
      </w:r>
    </w:p>
    <w:p w:rsidR="007C0648" w:rsidRPr="00EC3B34" w:rsidRDefault="007C0648" w:rsidP="00645AD9">
      <w:pPr>
        <w:spacing w:after="0" w:line="240" w:lineRule="auto"/>
        <w:jc w:val="both"/>
        <w:rPr>
          <w:rFonts w:asciiTheme="majorHAnsi" w:hAnsiTheme="majorHAnsi" w:cstheme="majorHAnsi"/>
          <w:lang w:val="en-GB"/>
        </w:rPr>
      </w:pPr>
    </w:p>
    <w:p w:rsidR="007C0648" w:rsidRPr="00EC3B34" w:rsidRDefault="007C0648" w:rsidP="00645AD9">
      <w:pPr>
        <w:spacing w:after="0" w:line="240" w:lineRule="auto"/>
        <w:jc w:val="both"/>
        <w:rPr>
          <w:rFonts w:asciiTheme="majorHAnsi" w:hAnsiTheme="majorHAnsi" w:cstheme="majorHAnsi"/>
          <w:lang w:val="en-GB"/>
        </w:rPr>
      </w:pPr>
      <w:proofErr w:type="gramStart"/>
      <w:r w:rsidRPr="00EC3B34">
        <w:rPr>
          <w:rFonts w:asciiTheme="majorHAnsi" w:hAnsiTheme="majorHAnsi" w:cstheme="majorHAnsi"/>
          <w:lang w:val="en-GB"/>
        </w:rPr>
        <w:t xml:space="preserve">The </w:t>
      </w:r>
      <w:r w:rsidR="00F16854" w:rsidRPr="00EC3B34">
        <w:rPr>
          <w:rFonts w:asciiTheme="majorHAnsi" w:hAnsiTheme="majorHAnsi" w:cstheme="majorHAnsi"/>
          <w:lang w:val="en-GB"/>
        </w:rPr>
        <w:t>Comm</w:t>
      </w:r>
      <w:r w:rsidRPr="00EC3B34">
        <w:rPr>
          <w:rFonts w:asciiTheme="majorHAnsi" w:hAnsiTheme="majorHAnsi" w:cstheme="majorHAnsi"/>
          <w:lang w:val="en-GB"/>
        </w:rPr>
        <w:t>ission, whose work is financed from the budget, sends periodic reports to the Ministry of Transport and Maritime Affairs and the Ministry of Sustainable Development and Tourism, from which MANS requested the reports according to the Law on Free Access to Information, trying to obtain all data related to the devastation of the Tara River</w:t>
      </w:r>
      <w:r w:rsidR="00B2232C" w:rsidRPr="00EC3B34">
        <w:rPr>
          <w:rFonts w:asciiTheme="majorHAnsi" w:hAnsiTheme="majorHAnsi" w:cstheme="majorHAnsi"/>
          <w:lang w:val="en-GB"/>
        </w:rPr>
        <w:t xml:space="preserve"> caused by</w:t>
      </w:r>
      <w:r w:rsidRPr="00EC3B34">
        <w:rPr>
          <w:rFonts w:asciiTheme="majorHAnsi" w:hAnsiTheme="majorHAnsi" w:cstheme="majorHAnsi"/>
          <w:lang w:val="en-GB"/>
        </w:rPr>
        <w:t xml:space="preserve"> the construction of subsection 4.4.1, </w:t>
      </w:r>
      <w:r w:rsidR="004746D1" w:rsidRPr="00EC3B34">
        <w:rPr>
          <w:rFonts w:asciiTheme="majorHAnsi" w:hAnsiTheme="majorHAnsi" w:cstheme="majorHAnsi"/>
          <w:lang w:val="en-GB"/>
        </w:rPr>
        <w:t>whose</w:t>
      </w:r>
      <w:r w:rsidRPr="00EC3B34">
        <w:rPr>
          <w:rFonts w:asciiTheme="majorHAnsi" w:hAnsiTheme="majorHAnsi" w:cstheme="majorHAnsi"/>
          <w:lang w:val="en-GB"/>
        </w:rPr>
        <w:t xml:space="preserve"> construction site rests for the most part on Tara.</w:t>
      </w:r>
      <w:r w:rsidR="004746D1" w:rsidRPr="00EC3B34">
        <w:rPr>
          <w:rStyle w:val="FootnoteReference"/>
          <w:rFonts w:asciiTheme="majorHAnsi" w:hAnsiTheme="majorHAnsi" w:cstheme="majorHAnsi"/>
          <w:lang w:val="en-GB"/>
        </w:rPr>
        <w:footnoteReference w:id="3"/>
      </w:r>
      <w:proofErr w:type="gramEnd"/>
    </w:p>
    <w:p w:rsidR="00645AD9" w:rsidRPr="00EC3B34" w:rsidRDefault="006341E2" w:rsidP="00645AD9">
      <w:pPr>
        <w:spacing w:after="0" w:line="240" w:lineRule="auto"/>
        <w:jc w:val="both"/>
        <w:rPr>
          <w:rFonts w:asciiTheme="majorHAnsi" w:hAnsiTheme="majorHAnsi" w:cstheme="majorHAnsi"/>
          <w:lang w:val="en-GB"/>
        </w:rPr>
      </w:pPr>
      <w:r w:rsidRPr="00EC3B34">
        <w:rPr>
          <w:rFonts w:asciiTheme="majorHAnsi" w:hAnsiTheme="majorHAnsi" w:cstheme="majorHAnsi"/>
          <w:b/>
          <w:color w:val="5B9BD5" w:themeColor="accent1"/>
          <w:sz w:val="36"/>
          <w:szCs w:val="36"/>
          <w:lang w:val="en-GB"/>
        </w:rPr>
        <mc:AlternateContent>
          <mc:Choice Requires="wps">
            <w:drawing>
              <wp:anchor distT="0" distB="0" distL="114300" distR="114300" simplePos="0" relativeHeight="251660288" behindDoc="0" locked="0" layoutInCell="1" allowOverlap="1" wp14:anchorId="16A40ED1" wp14:editId="2ED922AC">
                <wp:simplePos x="0" y="0"/>
                <wp:positionH relativeFrom="margin">
                  <wp:align>left</wp:align>
                </wp:positionH>
                <wp:positionV relativeFrom="margin">
                  <wp:align>bottom</wp:align>
                </wp:positionV>
                <wp:extent cx="1645920" cy="6553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645920" cy="6553200"/>
                        </a:xfrm>
                        <a:prstGeom prst="rect">
                          <a:avLst/>
                        </a:prstGeom>
                        <a:solidFill>
                          <a:srgbClr val="5B9BD5">
                            <a:lumMod val="20000"/>
                            <a:lumOff val="80000"/>
                          </a:srgbClr>
                        </a:solidFill>
                        <a:ln w="6350">
                          <a:noFill/>
                        </a:ln>
                      </wps:spPr>
                      <wps:txbx>
                        <w:txbxContent>
                          <w:p w:rsidR="00017EE8" w:rsidRPr="00116953" w:rsidRDefault="00A55088" w:rsidP="003C1CBE">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In addition to the Commission for technical inspection of works on the construction on the highway, there are two more - the State Commission for audit of technical documentation and the State Commission for </w:t>
                            </w:r>
                            <w:r w:rsidR="00D853F7" w:rsidRPr="00116953">
                              <w:rPr>
                                <w:rFonts w:asciiTheme="majorHAnsi" w:hAnsiTheme="majorHAnsi" w:cstheme="majorHAnsi"/>
                                <w:i/>
                                <w:iCs/>
                                <w:sz w:val="18"/>
                                <w:szCs w:val="18"/>
                                <w:lang w:val="en-GB"/>
                                <w14:textOutline w14:w="9525" w14:cap="rnd" w14:cmpd="sng" w14:algn="ctr">
                                  <w14:noFill/>
                                  <w14:prstDash w14:val="solid"/>
                                  <w14:bevel/>
                                </w14:textOutline>
                              </w:rPr>
                              <w:t>audit</w:t>
                            </w:r>
                            <w:r w:rsidR="00381EAC"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of preliminary designs for the sections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Mateševo</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Andrijevica</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and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Smokovac</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Farmaci</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w:t>
                            </w:r>
                          </w:p>
                          <w:p w:rsidR="003C1CBE" w:rsidRPr="00116953" w:rsidRDefault="003C1CBE" w:rsidP="003C1CBE">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p>
                          <w:p w:rsidR="00D853F7" w:rsidRPr="00116953" w:rsidRDefault="00D853F7" w:rsidP="00294039">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proofErr w:type="gramStart"/>
                            <w:r w:rsidRPr="00116953">
                              <w:rPr>
                                <w:rFonts w:asciiTheme="majorHAnsi" w:hAnsiTheme="majorHAnsi" w:cstheme="majorHAnsi"/>
                                <w:i/>
                                <w:iCs/>
                                <w:sz w:val="18"/>
                                <w:szCs w:val="18"/>
                                <w:lang w:val="en-GB"/>
                                <w14:textOutline w14:w="9525" w14:cap="rnd" w14:cmpd="sng" w14:algn="ctr">
                                  <w14:noFill/>
                                  <w14:prstDash w14:val="solid"/>
                                  <w14:bevel/>
                                </w14:textOutline>
                              </w:rPr>
                              <w:t>The Commission for audit of the technical documentation of the section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Smokovac</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Mateševo</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was established in March 2015,</w:t>
                            </w:r>
                            <w:r w:rsidR="00116953">
                              <w:rPr>
                                <w:rFonts w:asciiTheme="majorHAnsi" w:hAnsiTheme="majorHAnsi" w:cstheme="majorHAnsi"/>
                                <w:i/>
                                <w:iCs/>
                                <w:sz w:val="18"/>
                                <w:szCs w:val="18"/>
                                <w:lang w:val="en-GB"/>
                                <w14:textOutline w14:w="9525" w14:cap="rnd" w14:cmpd="sng" w14:algn="ctr">
                                  <w14:noFill/>
                                  <w14:prstDash w14:val="solid"/>
                                  <w14:bevel/>
                                </w14:textOutline>
                              </w:rPr>
                              <w:t xml:space="preserve"> it </w:t>
                            </w:r>
                            <w:r w:rsidRPr="00116953">
                              <w:rPr>
                                <w:rFonts w:asciiTheme="majorHAnsi" w:hAnsiTheme="majorHAnsi" w:cstheme="majorHAnsi"/>
                                <w:i/>
                                <w:iCs/>
                                <w:sz w:val="18"/>
                                <w:szCs w:val="18"/>
                                <w:lang w:val="en-GB"/>
                                <w14:textOutline w14:w="9525" w14:cap="rnd" w14:cmpd="sng" w14:algn="ctr">
                                  <w14:noFill/>
                                  <w14:prstDash w14:val="solid"/>
                                  <w14:bevel/>
                                </w14:textOutline>
                              </w:rPr>
                              <w:t>has 24 members and</w:t>
                            </w:r>
                            <w:r w:rsidR="00E27239"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0.35% of the total contracted price of </w:t>
                            </w:r>
                            <w:r w:rsidR="00E27239" w:rsidRPr="00116953">
                              <w:rPr>
                                <w:rFonts w:asciiTheme="majorHAnsi" w:hAnsiTheme="majorHAnsi" w:cstheme="majorHAnsi"/>
                                <w:i/>
                                <w:iCs/>
                                <w:sz w:val="18"/>
                                <w:szCs w:val="18"/>
                                <w:lang w:val="en-GB"/>
                                <w14:textOutline w14:w="9525" w14:cap="rnd" w14:cmpd="sng" w14:algn="ctr">
                                  <w14:noFill/>
                                  <w14:prstDash w14:val="solid"/>
                                  <w14:bevel/>
                                </w14:textOutline>
                              </w:rPr>
                              <w:t>€</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2,833,520.74</w:t>
                            </w:r>
                            <w:r w:rsidR="00381EAC"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w:t>
                            </w:r>
                            <w:r w:rsidR="00E27239" w:rsidRPr="00116953">
                              <w:rPr>
                                <w:rFonts w:asciiTheme="majorHAnsi" w:hAnsiTheme="majorHAnsi" w:cstheme="majorHAnsi"/>
                                <w:i/>
                                <w:iCs/>
                                <w:sz w:val="18"/>
                                <w:szCs w:val="18"/>
                                <w:lang w:val="en-GB"/>
                                <w14:textOutline w14:w="9525" w14:cap="rnd" w14:cmpd="sng" w14:algn="ctr">
                                  <w14:noFill/>
                                  <w14:prstDash w14:val="solid"/>
                                  <w14:bevel/>
                                </w14:textOutline>
                              </w:rPr>
                              <w:t>was allocated</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from the capital budget of the Ministry of Transport and Maritime Affairs</w:t>
                            </w:r>
                            <w:r w:rsidR="00381EAC" w:rsidRPr="00116953">
                              <w:rPr>
                                <w:sz w:val="18"/>
                                <w:szCs w:val="18"/>
                                <w:lang w:val="en-GB"/>
                              </w:rPr>
                              <w:t xml:space="preserve"> </w:t>
                            </w:r>
                            <w:r w:rsidR="00381EAC" w:rsidRPr="00116953">
                              <w:rPr>
                                <w:rFonts w:asciiTheme="majorHAnsi" w:hAnsiTheme="majorHAnsi" w:cstheme="majorHAnsi"/>
                                <w:i/>
                                <w:iCs/>
                                <w:sz w:val="18"/>
                                <w:szCs w:val="18"/>
                                <w:lang w:val="en-GB"/>
                                <w14:textOutline w14:w="9525" w14:cap="rnd" w14:cmpd="sng" w14:algn="ctr">
                                  <w14:noFill/>
                                  <w14:prstDash w14:val="solid"/>
                                  <w14:bevel/>
                                </w14:textOutline>
                              </w:rPr>
                              <w:t>for their work in the form of audit of the complete technical documentation required for the construction of the highway</w:t>
                            </w:r>
                            <w:r w:rsidRPr="00116953">
                              <w:rPr>
                                <w:rFonts w:asciiTheme="majorHAnsi" w:hAnsiTheme="majorHAnsi" w:cstheme="majorHAnsi"/>
                                <w:i/>
                                <w:iCs/>
                                <w:sz w:val="18"/>
                                <w:szCs w:val="18"/>
                                <w:lang w:val="en-GB"/>
                                <w14:textOutline w14:w="9525" w14:cap="rnd" w14:cmpd="sng" w14:algn="ctr">
                                  <w14:noFill/>
                                  <w14:prstDash w14:val="solid"/>
                                  <w14:bevel/>
                                </w14:textOutline>
                              </w:rPr>
                              <w:t>.</w:t>
                            </w:r>
                            <w:proofErr w:type="gramEnd"/>
                            <w:r w:rsidR="00381EAC"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w:t>
                            </w:r>
                          </w:p>
                          <w:p w:rsidR="00294039" w:rsidRPr="00116953" w:rsidRDefault="00294039" w:rsidP="00294039">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p>
                          <w:p w:rsidR="00381EAC" w:rsidRPr="00116953" w:rsidRDefault="00381EAC" w:rsidP="00294039">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The decision on the appointment of the Commission for audit of preliminary designs for the sections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Mateševo</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Andrijevica</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and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Smokovac</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Farmaci</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came into force in January 2019. The commission, which has 23 members auditing the projects of two sections of the highway that </w:t>
                            </w:r>
                            <w:proofErr w:type="gramStart"/>
                            <w:r w:rsidRPr="00116953">
                              <w:rPr>
                                <w:rFonts w:asciiTheme="majorHAnsi" w:hAnsiTheme="majorHAnsi" w:cstheme="majorHAnsi"/>
                                <w:i/>
                                <w:iCs/>
                                <w:sz w:val="18"/>
                                <w:szCs w:val="18"/>
                                <w:lang w:val="en-GB"/>
                                <w14:textOutline w14:w="9525" w14:cap="rnd" w14:cmpd="sng" w14:algn="ctr">
                                  <w14:noFill/>
                                  <w14:prstDash w14:val="solid"/>
                                  <w14:bevel/>
                                </w14:textOutline>
                              </w:rPr>
                              <w:t>will be built</w:t>
                            </w:r>
                            <w:proofErr w:type="gram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next, will </w:t>
                            </w:r>
                            <w:r w:rsidR="00DB39B1" w:rsidRPr="00116953">
                              <w:rPr>
                                <w:rFonts w:asciiTheme="majorHAnsi" w:hAnsiTheme="majorHAnsi" w:cstheme="majorHAnsi"/>
                                <w:i/>
                                <w:iCs/>
                                <w:sz w:val="18"/>
                                <w:szCs w:val="18"/>
                                <w:lang w:val="en-GB"/>
                                <w14:textOutline w14:w="9525" w14:cap="rnd" w14:cmpd="sng" w14:algn="ctr">
                                  <w14:noFill/>
                                  <w14:prstDash w14:val="solid"/>
                                  <w14:bevel/>
                                </w14:textOutline>
                              </w:rPr>
                              <w:t xml:space="preserve">cost € </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603,900, which is 11% of the total cost of the two preliminary projects. Funds for its work </w:t>
                            </w:r>
                            <w:proofErr w:type="gramStart"/>
                            <w:r w:rsidRPr="00116953">
                              <w:rPr>
                                <w:rFonts w:asciiTheme="majorHAnsi" w:hAnsiTheme="majorHAnsi" w:cstheme="majorHAnsi"/>
                                <w:i/>
                                <w:iCs/>
                                <w:sz w:val="18"/>
                                <w:szCs w:val="18"/>
                                <w:lang w:val="en-GB"/>
                                <w14:textOutline w14:w="9525" w14:cap="rnd" w14:cmpd="sng" w14:algn="ctr">
                                  <w14:noFill/>
                                  <w14:prstDash w14:val="solid"/>
                                  <w14:bevel/>
                                </w14:textOutline>
                              </w:rPr>
                              <w:t>are also provided</w:t>
                            </w:r>
                            <w:proofErr w:type="gram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from the capital budget of the Ministry of Transport and Maritime Affairs.</w:t>
                            </w:r>
                          </w:p>
                          <w:p w:rsidR="00203AFB" w:rsidRPr="00116953" w:rsidRDefault="00203AFB" w:rsidP="00294039">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p>
                          <w:p w:rsidR="00203AFB" w:rsidRPr="00DB39B1" w:rsidRDefault="00DB39B1" w:rsidP="00DB39B1">
                            <w:pPr>
                              <w:spacing w:after="0" w:line="240" w:lineRule="auto"/>
                              <w:jc w:val="both"/>
                              <w:rPr>
                                <w:rFonts w:asciiTheme="majorHAnsi" w:hAnsiTheme="majorHAnsi" w:cstheme="majorHAnsi"/>
                                <w:i/>
                                <w:iCs/>
                                <w:sz w:val="18"/>
                                <w:szCs w:val="18"/>
                                <w14:textOutline w14:w="9525" w14:cap="rnd" w14:cmpd="sng" w14:algn="ctr">
                                  <w14:noFill/>
                                  <w14:prstDash w14:val="solid"/>
                                  <w14:bevel/>
                                </w14:textOutline>
                              </w:rPr>
                            </w:pP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The work of both commissions </w:t>
                            </w:r>
                            <w:proofErr w:type="gramStart"/>
                            <w:r w:rsidRPr="00116953">
                              <w:rPr>
                                <w:rFonts w:asciiTheme="majorHAnsi" w:hAnsiTheme="majorHAnsi" w:cstheme="majorHAnsi"/>
                                <w:i/>
                                <w:iCs/>
                                <w:sz w:val="18"/>
                                <w:szCs w:val="18"/>
                                <w:lang w:val="en-GB"/>
                                <w14:textOutline w14:w="9525" w14:cap="rnd" w14:cmpd="sng" w14:algn="ctr">
                                  <w14:noFill/>
                                  <w14:prstDash w14:val="solid"/>
                                  <w14:bevel/>
                                </w14:textOutline>
                              </w:rPr>
                              <w:t>was declared</w:t>
                            </w:r>
                            <w:proofErr w:type="gram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a business secret</w:t>
                            </w:r>
                            <w:r w:rsidRPr="00DB39B1">
                              <w:rPr>
                                <w:rFonts w:asciiTheme="majorHAnsi" w:hAnsiTheme="majorHAnsi" w:cstheme="majorHAnsi"/>
                                <w:i/>
                                <w:iCs/>
                                <w:sz w:val="18"/>
                                <w:szCs w:val="18"/>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40ED1" id="_x0000_t202" coordsize="21600,21600" o:spt="202" path="m,l,21600r21600,l21600,xe">
                <v:stroke joinstyle="miter"/>
                <v:path gradientshapeok="t" o:connecttype="rect"/>
              </v:shapetype>
              <v:shape id="Text Box 9" o:spid="_x0000_s1026" type="#_x0000_t202" style="position:absolute;left:0;text-align:left;margin-left:0;margin-top:0;width:129.6pt;height:516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qmXAIAALQEAAAOAAAAZHJzL2Uyb0RvYy54bWysVN+P2jAMfp+0/yHK+yhwlB0V5cQPMU26&#10;3Z0E0z2HNIVKSZwlgZb99XPSwrHbnqa9pI7tfLY/250+NEqSk7CuAp3TQa9PidAcikrvc/p9u/50&#10;T4nzTBdMghY5PQtHH2YfP0xrk4khHEAWwhIE0S6rTU4P3pssSRw/CMVcD4zQaCzBKubxavdJYVmN&#10;6Eomw35/nNRgC2OBC+dQu2qNdBbxy1Jw/1yWTngic4q5+XjaeO7CmcymLNtbZg4V79Jg/5CFYpXG&#10;oFeoFfOMHG31B5SquAUHpe9xUAmUZcVFrAGrGfTfVbM5MCNiLUiOM1ea3P+D5U+nF0uqIqcTSjRT&#10;2KKtaDxZQEMmgZ3auAydNgbdfINq7PJF71AZim5Kq8IXyyFoR57PV24DGA+PxqN0MkQTR9s4Te+w&#10;ewEneXturPNfBCgShJxabF7klJ0enW9dLy4hmgNZFetKynix+91SWnJi2Oh0MVms0vhWHtU3KFo1&#10;RmxjsgzVOBet+v6ixlRcCxPT+g1falJj3ndpP8JqCIHbnKRG90BTS0eQfLNrOu52UJyROgvt6DnD&#10;1xWW98icf2EWZw0pwf3xz3iUEjAIdBIlB7A//6YP/jgCaKWkxtnNqftxZFZQIr9qHI7JYDQKwx4v&#10;o/RzoN3eWna3Fn1US0DWBriphkcx+Ht5EUsL6hXXbB6ioolpjrFz6i/i0rcbhWvKxXwenXC8DfOP&#10;emN4gA49Cs3bNq/Mmq7DHofjCS5TzrJ3jW59w0sN86OHsopTEAhuWe14x9WIDevWOOze7T16vf1s&#10;Zr8AAAD//wMAUEsDBBQABgAIAAAAIQCof5Hf3QAAAAYBAAAPAAAAZHJzL2Rvd25yZXYueG1sTI/N&#10;TsMwEITvSLyDtUjcqI2BqoQ4FULiUhAq5efsJNs4JV5HsZsGnp6FC1xGWs1o5tt8OflOjDjENpCB&#10;85kCgVSFuqXGwOvL/dkCREyWatsFQgOfGGFZHB/lNqvDgZ5x3KRGcAnFzBpwKfWZlLFy6G2chR6J&#10;vW0YvE18Do2sB3vgct9JrdRcetsSLzjb453D6mOz9wbeyrDe7qJbPY6L3eph/vR+2X5pY05Pptsb&#10;EAmn9BeGH3xGh4KZyrCnOorOAD+SfpU9fXWtQZQcUhdagSxy+R+/+AYAAP//AwBQSwECLQAUAAYA&#10;CAAAACEAtoM4kv4AAADhAQAAEwAAAAAAAAAAAAAAAAAAAAAAW0NvbnRlbnRfVHlwZXNdLnhtbFBL&#10;AQItABQABgAIAAAAIQA4/SH/1gAAAJQBAAALAAAAAAAAAAAAAAAAAC8BAABfcmVscy8ucmVsc1BL&#10;AQItABQABgAIAAAAIQDORyqmXAIAALQEAAAOAAAAAAAAAAAAAAAAAC4CAABkcnMvZTJvRG9jLnht&#10;bFBLAQItABQABgAIAAAAIQCof5Hf3QAAAAYBAAAPAAAAAAAAAAAAAAAAALYEAABkcnMvZG93bnJl&#10;di54bWxQSwUGAAAAAAQABADzAAAAwAUAAAAA&#10;" fillcolor="#deebf7" stroked="f" strokeweight=".5pt">
                <v:textbox>
                  <w:txbxContent>
                    <w:p w:rsidR="00017EE8" w:rsidRPr="00116953" w:rsidRDefault="00A55088" w:rsidP="003C1CBE">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In addition to the Commission for technical inspection of works on the construction on the highway, there are two more - the State Commission for audit of technical documentation and the State Commission for </w:t>
                      </w:r>
                      <w:r w:rsidR="00D853F7" w:rsidRPr="00116953">
                        <w:rPr>
                          <w:rFonts w:asciiTheme="majorHAnsi" w:hAnsiTheme="majorHAnsi" w:cstheme="majorHAnsi"/>
                          <w:i/>
                          <w:iCs/>
                          <w:sz w:val="18"/>
                          <w:szCs w:val="18"/>
                          <w:lang w:val="en-GB"/>
                          <w14:textOutline w14:w="9525" w14:cap="rnd" w14:cmpd="sng" w14:algn="ctr">
                            <w14:noFill/>
                            <w14:prstDash w14:val="solid"/>
                            <w14:bevel/>
                          </w14:textOutline>
                        </w:rPr>
                        <w:t>audit</w:t>
                      </w:r>
                      <w:r w:rsidR="00381EAC"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of preliminary designs for the sections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Mateševo</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Andrijevica</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and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Smokovac</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Farmaci</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w:t>
                      </w:r>
                    </w:p>
                    <w:p w:rsidR="003C1CBE" w:rsidRPr="00116953" w:rsidRDefault="003C1CBE" w:rsidP="003C1CBE">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p>
                    <w:p w:rsidR="00D853F7" w:rsidRPr="00116953" w:rsidRDefault="00D853F7" w:rsidP="00294039">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proofErr w:type="gramStart"/>
                      <w:r w:rsidRPr="00116953">
                        <w:rPr>
                          <w:rFonts w:asciiTheme="majorHAnsi" w:hAnsiTheme="majorHAnsi" w:cstheme="majorHAnsi"/>
                          <w:i/>
                          <w:iCs/>
                          <w:sz w:val="18"/>
                          <w:szCs w:val="18"/>
                          <w:lang w:val="en-GB"/>
                          <w14:textOutline w14:w="9525" w14:cap="rnd" w14:cmpd="sng" w14:algn="ctr">
                            <w14:noFill/>
                            <w14:prstDash w14:val="solid"/>
                            <w14:bevel/>
                          </w14:textOutline>
                        </w:rPr>
                        <w:t>The Commission for audit of the technical documentation of the section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Smokovac</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Mateševo</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was established in March 2015,</w:t>
                      </w:r>
                      <w:r w:rsidR="00116953">
                        <w:rPr>
                          <w:rFonts w:asciiTheme="majorHAnsi" w:hAnsiTheme="majorHAnsi" w:cstheme="majorHAnsi"/>
                          <w:i/>
                          <w:iCs/>
                          <w:sz w:val="18"/>
                          <w:szCs w:val="18"/>
                          <w:lang w:val="en-GB"/>
                          <w14:textOutline w14:w="9525" w14:cap="rnd" w14:cmpd="sng" w14:algn="ctr">
                            <w14:noFill/>
                            <w14:prstDash w14:val="solid"/>
                            <w14:bevel/>
                          </w14:textOutline>
                        </w:rPr>
                        <w:t xml:space="preserve"> it </w:t>
                      </w:r>
                      <w:r w:rsidRPr="00116953">
                        <w:rPr>
                          <w:rFonts w:asciiTheme="majorHAnsi" w:hAnsiTheme="majorHAnsi" w:cstheme="majorHAnsi"/>
                          <w:i/>
                          <w:iCs/>
                          <w:sz w:val="18"/>
                          <w:szCs w:val="18"/>
                          <w:lang w:val="en-GB"/>
                          <w14:textOutline w14:w="9525" w14:cap="rnd" w14:cmpd="sng" w14:algn="ctr">
                            <w14:noFill/>
                            <w14:prstDash w14:val="solid"/>
                            <w14:bevel/>
                          </w14:textOutline>
                        </w:rPr>
                        <w:t>has 24 members and</w:t>
                      </w:r>
                      <w:r w:rsidR="00E27239"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0.35% of the total contracted price of </w:t>
                      </w:r>
                      <w:r w:rsidR="00E27239" w:rsidRPr="00116953">
                        <w:rPr>
                          <w:rFonts w:asciiTheme="majorHAnsi" w:hAnsiTheme="majorHAnsi" w:cstheme="majorHAnsi"/>
                          <w:i/>
                          <w:iCs/>
                          <w:sz w:val="18"/>
                          <w:szCs w:val="18"/>
                          <w:lang w:val="en-GB"/>
                          <w14:textOutline w14:w="9525" w14:cap="rnd" w14:cmpd="sng" w14:algn="ctr">
                            <w14:noFill/>
                            <w14:prstDash w14:val="solid"/>
                            <w14:bevel/>
                          </w14:textOutline>
                        </w:rPr>
                        <w:t>€</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2,833,520.74</w:t>
                      </w:r>
                      <w:r w:rsidR="00381EAC"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w:t>
                      </w:r>
                      <w:r w:rsidR="00E27239" w:rsidRPr="00116953">
                        <w:rPr>
                          <w:rFonts w:asciiTheme="majorHAnsi" w:hAnsiTheme="majorHAnsi" w:cstheme="majorHAnsi"/>
                          <w:i/>
                          <w:iCs/>
                          <w:sz w:val="18"/>
                          <w:szCs w:val="18"/>
                          <w:lang w:val="en-GB"/>
                          <w14:textOutline w14:w="9525" w14:cap="rnd" w14:cmpd="sng" w14:algn="ctr">
                            <w14:noFill/>
                            <w14:prstDash w14:val="solid"/>
                            <w14:bevel/>
                          </w14:textOutline>
                        </w:rPr>
                        <w:t>was allocated</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from the capital budget of the Ministry of Transport and Maritime Affairs</w:t>
                      </w:r>
                      <w:r w:rsidR="00381EAC" w:rsidRPr="00116953">
                        <w:rPr>
                          <w:sz w:val="18"/>
                          <w:szCs w:val="18"/>
                          <w:lang w:val="en-GB"/>
                        </w:rPr>
                        <w:t xml:space="preserve"> </w:t>
                      </w:r>
                      <w:r w:rsidR="00381EAC" w:rsidRPr="00116953">
                        <w:rPr>
                          <w:rFonts w:asciiTheme="majorHAnsi" w:hAnsiTheme="majorHAnsi" w:cstheme="majorHAnsi"/>
                          <w:i/>
                          <w:iCs/>
                          <w:sz w:val="18"/>
                          <w:szCs w:val="18"/>
                          <w:lang w:val="en-GB"/>
                          <w14:textOutline w14:w="9525" w14:cap="rnd" w14:cmpd="sng" w14:algn="ctr">
                            <w14:noFill/>
                            <w14:prstDash w14:val="solid"/>
                            <w14:bevel/>
                          </w14:textOutline>
                        </w:rPr>
                        <w:t>for their work in the form of audit of the complete technical documentation required for the construction of the highway</w:t>
                      </w:r>
                      <w:r w:rsidRPr="00116953">
                        <w:rPr>
                          <w:rFonts w:asciiTheme="majorHAnsi" w:hAnsiTheme="majorHAnsi" w:cstheme="majorHAnsi"/>
                          <w:i/>
                          <w:iCs/>
                          <w:sz w:val="18"/>
                          <w:szCs w:val="18"/>
                          <w:lang w:val="en-GB"/>
                          <w14:textOutline w14:w="9525" w14:cap="rnd" w14:cmpd="sng" w14:algn="ctr">
                            <w14:noFill/>
                            <w14:prstDash w14:val="solid"/>
                            <w14:bevel/>
                          </w14:textOutline>
                        </w:rPr>
                        <w:t>.</w:t>
                      </w:r>
                      <w:proofErr w:type="gramEnd"/>
                      <w:r w:rsidR="00381EAC"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w:t>
                      </w:r>
                    </w:p>
                    <w:p w:rsidR="00294039" w:rsidRPr="00116953" w:rsidRDefault="00294039" w:rsidP="00294039">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p>
                    <w:p w:rsidR="00381EAC" w:rsidRPr="00116953" w:rsidRDefault="00381EAC" w:rsidP="00294039">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The decision on the appointment of the Commission for audit of preliminary designs for the sections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Mateševo</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Andrijevica</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and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Smokovac</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 </w:t>
                      </w:r>
                      <w:proofErr w:type="spellStart"/>
                      <w:r w:rsidRPr="00116953">
                        <w:rPr>
                          <w:rFonts w:asciiTheme="majorHAnsi" w:hAnsiTheme="majorHAnsi" w:cstheme="majorHAnsi"/>
                          <w:i/>
                          <w:iCs/>
                          <w:sz w:val="18"/>
                          <w:szCs w:val="18"/>
                          <w:lang w:val="en-GB"/>
                          <w14:textOutline w14:w="9525" w14:cap="rnd" w14:cmpd="sng" w14:algn="ctr">
                            <w14:noFill/>
                            <w14:prstDash w14:val="solid"/>
                            <w14:bevel/>
                          </w14:textOutline>
                        </w:rPr>
                        <w:t>Farmaci</w:t>
                      </w:r>
                      <w:proofErr w:type="spell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came into force in January 2019. The commission, which has 23 members auditing the projects of two sections of the highway that </w:t>
                      </w:r>
                      <w:proofErr w:type="gramStart"/>
                      <w:r w:rsidRPr="00116953">
                        <w:rPr>
                          <w:rFonts w:asciiTheme="majorHAnsi" w:hAnsiTheme="majorHAnsi" w:cstheme="majorHAnsi"/>
                          <w:i/>
                          <w:iCs/>
                          <w:sz w:val="18"/>
                          <w:szCs w:val="18"/>
                          <w:lang w:val="en-GB"/>
                          <w14:textOutline w14:w="9525" w14:cap="rnd" w14:cmpd="sng" w14:algn="ctr">
                            <w14:noFill/>
                            <w14:prstDash w14:val="solid"/>
                            <w14:bevel/>
                          </w14:textOutline>
                        </w:rPr>
                        <w:t>will be built</w:t>
                      </w:r>
                      <w:proofErr w:type="gram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next, will </w:t>
                      </w:r>
                      <w:r w:rsidR="00DB39B1" w:rsidRPr="00116953">
                        <w:rPr>
                          <w:rFonts w:asciiTheme="majorHAnsi" w:hAnsiTheme="majorHAnsi" w:cstheme="majorHAnsi"/>
                          <w:i/>
                          <w:iCs/>
                          <w:sz w:val="18"/>
                          <w:szCs w:val="18"/>
                          <w:lang w:val="en-GB"/>
                          <w14:textOutline w14:w="9525" w14:cap="rnd" w14:cmpd="sng" w14:algn="ctr">
                            <w14:noFill/>
                            <w14:prstDash w14:val="solid"/>
                            <w14:bevel/>
                          </w14:textOutline>
                        </w:rPr>
                        <w:t xml:space="preserve">cost € </w:t>
                      </w: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603,900, which is 11% of the total cost of the two preliminary projects. Funds for its work </w:t>
                      </w:r>
                      <w:proofErr w:type="gramStart"/>
                      <w:r w:rsidRPr="00116953">
                        <w:rPr>
                          <w:rFonts w:asciiTheme="majorHAnsi" w:hAnsiTheme="majorHAnsi" w:cstheme="majorHAnsi"/>
                          <w:i/>
                          <w:iCs/>
                          <w:sz w:val="18"/>
                          <w:szCs w:val="18"/>
                          <w:lang w:val="en-GB"/>
                          <w14:textOutline w14:w="9525" w14:cap="rnd" w14:cmpd="sng" w14:algn="ctr">
                            <w14:noFill/>
                            <w14:prstDash w14:val="solid"/>
                            <w14:bevel/>
                          </w14:textOutline>
                        </w:rPr>
                        <w:t>are also provided</w:t>
                      </w:r>
                      <w:proofErr w:type="gram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from the capital budget of the Ministry of Transport and Maritime Affairs.</w:t>
                      </w:r>
                    </w:p>
                    <w:p w:rsidR="00203AFB" w:rsidRPr="00116953" w:rsidRDefault="00203AFB" w:rsidP="00294039">
                      <w:pPr>
                        <w:spacing w:after="0" w:line="240" w:lineRule="auto"/>
                        <w:jc w:val="both"/>
                        <w:rPr>
                          <w:rFonts w:asciiTheme="majorHAnsi" w:hAnsiTheme="majorHAnsi" w:cstheme="majorHAnsi"/>
                          <w:i/>
                          <w:iCs/>
                          <w:sz w:val="18"/>
                          <w:szCs w:val="18"/>
                          <w:lang w:val="en-GB"/>
                          <w14:textOutline w14:w="9525" w14:cap="rnd" w14:cmpd="sng" w14:algn="ctr">
                            <w14:noFill/>
                            <w14:prstDash w14:val="solid"/>
                            <w14:bevel/>
                          </w14:textOutline>
                        </w:rPr>
                      </w:pPr>
                    </w:p>
                    <w:p w:rsidR="00203AFB" w:rsidRPr="00DB39B1" w:rsidRDefault="00DB39B1" w:rsidP="00DB39B1">
                      <w:pPr>
                        <w:spacing w:after="0" w:line="240" w:lineRule="auto"/>
                        <w:jc w:val="both"/>
                        <w:rPr>
                          <w:rFonts w:asciiTheme="majorHAnsi" w:hAnsiTheme="majorHAnsi" w:cstheme="majorHAnsi"/>
                          <w:i/>
                          <w:iCs/>
                          <w:sz w:val="18"/>
                          <w:szCs w:val="18"/>
                          <w14:textOutline w14:w="9525" w14:cap="rnd" w14:cmpd="sng" w14:algn="ctr">
                            <w14:noFill/>
                            <w14:prstDash w14:val="solid"/>
                            <w14:bevel/>
                          </w14:textOutline>
                        </w:rPr>
                      </w:pPr>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The work of both commissions </w:t>
                      </w:r>
                      <w:proofErr w:type="gramStart"/>
                      <w:r w:rsidRPr="00116953">
                        <w:rPr>
                          <w:rFonts w:asciiTheme="majorHAnsi" w:hAnsiTheme="majorHAnsi" w:cstheme="majorHAnsi"/>
                          <w:i/>
                          <w:iCs/>
                          <w:sz w:val="18"/>
                          <w:szCs w:val="18"/>
                          <w:lang w:val="en-GB"/>
                          <w14:textOutline w14:w="9525" w14:cap="rnd" w14:cmpd="sng" w14:algn="ctr">
                            <w14:noFill/>
                            <w14:prstDash w14:val="solid"/>
                            <w14:bevel/>
                          </w14:textOutline>
                        </w:rPr>
                        <w:t>was declared</w:t>
                      </w:r>
                      <w:proofErr w:type="gramEnd"/>
                      <w:r w:rsidRPr="00116953">
                        <w:rPr>
                          <w:rFonts w:asciiTheme="majorHAnsi" w:hAnsiTheme="majorHAnsi" w:cstheme="majorHAnsi"/>
                          <w:i/>
                          <w:iCs/>
                          <w:sz w:val="18"/>
                          <w:szCs w:val="18"/>
                          <w:lang w:val="en-GB"/>
                          <w14:textOutline w14:w="9525" w14:cap="rnd" w14:cmpd="sng" w14:algn="ctr">
                            <w14:noFill/>
                            <w14:prstDash w14:val="solid"/>
                            <w14:bevel/>
                          </w14:textOutline>
                        </w:rPr>
                        <w:t xml:space="preserve"> a business secret</w:t>
                      </w:r>
                      <w:r w:rsidRPr="00DB39B1">
                        <w:rPr>
                          <w:rFonts w:asciiTheme="majorHAnsi" w:hAnsiTheme="majorHAnsi" w:cstheme="majorHAnsi"/>
                          <w:i/>
                          <w:iCs/>
                          <w:sz w:val="18"/>
                          <w:szCs w:val="18"/>
                          <w14:textOutline w14:w="9525" w14:cap="rnd" w14:cmpd="sng" w14:algn="ctr">
                            <w14:noFill/>
                            <w14:prstDash w14:val="solid"/>
                            <w14:bevel/>
                          </w14:textOutline>
                        </w:rPr>
                        <w:t>.</w:t>
                      </w:r>
                    </w:p>
                  </w:txbxContent>
                </v:textbox>
                <w10:wrap type="square" anchorx="margin" anchory="margin"/>
              </v:shape>
            </w:pict>
          </mc:Fallback>
        </mc:AlternateContent>
      </w:r>
    </w:p>
    <w:p w:rsidR="006341E2" w:rsidRPr="00EC3B34" w:rsidRDefault="004746D1" w:rsidP="009F774D">
      <w:pPr>
        <w:spacing w:after="0" w:line="240" w:lineRule="auto"/>
        <w:jc w:val="both"/>
        <w:rPr>
          <w:rFonts w:asciiTheme="majorHAnsi" w:hAnsiTheme="majorHAnsi" w:cstheme="majorHAnsi"/>
          <w:lang w:val="en-GB"/>
        </w:rPr>
      </w:pPr>
      <w:r w:rsidRPr="00EC3B34">
        <w:rPr>
          <w:rFonts w:asciiTheme="majorHAnsi" w:hAnsiTheme="majorHAnsi" w:cstheme="majorHAnsi"/>
          <w:lang w:val="en-GB"/>
        </w:rPr>
        <w:t xml:space="preserve">However, both ministries rejected the requests, explaining such decision by the need to protect the "safety of the highway", but also by the fact that the work of the commission </w:t>
      </w:r>
      <w:proofErr w:type="gramStart"/>
      <w:r w:rsidRPr="00EC3B34">
        <w:rPr>
          <w:rFonts w:asciiTheme="majorHAnsi" w:hAnsiTheme="majorHAnsi" w:cstheme="majorHAnsi"/>
          <w:lang w:val="en-GB"/>
        </w:rPr>
        <w:t>was declared</w:t>
      </w:r>
      <w:proofErr w:type="gramEnd"/>
      <w:r w:rsidRPr="00EC3B34">
        <w:rPr>
          <w:rFonts w:asciiTheme="majorHAnsi" w:hAnsiTheme="majorHAnsi" w:cstheme="majorHAnsi"/>
          <w:lang w:val="en-GB"/>
        </w:rPr>
        <w:t xml:space="preserve"> a "business secret".</w:t>
      </w:r>
      <w:r w:rsidRPr="00EC3B34">
        <w:rPr>
          <w:rStyle w:val="FootnoteReference"/>
          <w:rFonts w:asciiTheme="majorHAnsi" w:hAnsiTheme="majorHAnsi" w:cstheme="majorHAnsi"/>
          <w:lang w:val="en-GB"/>
        </w:rPr>
        <w:footnoteReference w:id="4"/>
      </w:r>
      <w:r w:rsidRPr="00EC3B34">
        <w:rPr>
          <w:rFonts w:asciiTheme="majorHAnsi" w:hAnsiTheme="majorHAnsi" w:cstheme="majorHAnsi"/>
          <w:lang w:val="en-GB"/>
        </w:rPr>
        <w:t xml:space="preserve"> However, the requested reports on the review of works on the subsection near Tara </w:t>
      </w:r>
      <w:proofErr w:type="gramStart"/>
      <w:r w:rsidRPr="00EC3B34">
        <w:rPr>
          <w:rFonts w:asciiTheme="majorHAnsi" w:hAnsiTheme="majorHAnsi" w:cstheme="majorHAnsi"/>
          <w:lang w:val="en-GB"/>
        </w:rPr>
        <w:t xml:space="preserve">were </w:t>
      </w:r>
      <w:r w:rsidR="008C4D1E" w:rsidRPr="00EC3B34">
        <w:rPr>
          <w:rFonts w:asciiTheme="majorHAnsi" w:hAnsiTheme="majorHAnsi" w:cstheme="majorHAnsi"/>
          <w:lang w:val="en-GB"/>
        </w:rPr>
        <w:t>eventually</w:t>
      </w:r>
      <w:r w:rsidRPr="00EC3B34">
        <w:rPr>
          <w:rFonts w:asciiTheme="majorHAnsi" w:hAnsiTheme="majorHAnsi" w:cstheme="majorHAnsi"/>
          <w:lang w:val="en-GB"/>
        </w:rPr>
        <w:t xml:space="preserve"> submitted</w:t>
      </w:r>
      <w:proofErr w:type="gramEnd"/>
      <w:r w:rsidRPr="00EC3B34">
        <w:rPr>
          <w:rFonts w:asciiTheme="majorHAnsi" w:hAnsiTheme="majorHAnsi" w:cstheme="majorHAnsi"/>
          <w:lang w:val="en-GB"/>
        </w:rPr>
        <w:t xml:space="preserve"> by the </w:t>
      </w:r>
      <w:r w:rsidR="008C4D1E" w:rsidRPr="00EC3B34">
        <w:rPr>
          <w:rFonts w:asciiTheme="majorHAnsi" w:hAnsiTheme="majorHAnsi" w:cstheme="majorHAnsi"/>
          <w:lang w:val="en-GB"/>
        </w:rPr>
        <w:t xml:space="preserve">Business Unit for the project management of the construction of the Bar </w:t>
      </w:r>
      <w:proofErr w:type="spellStart"/>
      <w:r w:rsidR="008C4D1E" w:rsidRPr="00EC3B34">
        <w:rPr>
          <w:rFonts w:asciiTheme="majorHAnsi" w:hAnsiTheme="majorHAnsi" w:cstheme="majorHAnsi"/>
          <w:lang w:val="en-GB"/>
        </w:rPr>
        <w:t>Boljare</w:t>
      </w:r>
      <w:proofErr w:type="spellEnd"/>
      <w:r w:rsidR="008C4D1E" w:rsidRPr="00EC3B34">
        <w:rPr>
          <w:rFonts w:asciiTheme="majorHAnsi" w:hAnsiTheme="majorHAnsi" w:cstheme="majorHAnsi"/>
          <w:lang w:val="en-GB"/>
        </w:rPr>
        <w:t xml:space="preserve"> highway of</w:t>
      </w:r>
      <w:r w:rsidRPr="00EC3B34">
        <w:rPr>
          <w:rFonts w:asciiTheme="majorHAnsi" w:hAnsiTheme="majorHAnsi" w:cstheme="majorHAnsi"/>
          <w:lang w:val="en-GB"/>
        </w:rPr>
        <w:t xml:space="preserve"> the company "</w:t>
      </w:r>
      <w:proofErr w:type="spellStart"/>
      <w:r w:rsidRPr="00EC3B34">
        <w:rPr>
          <w:rFonts w:asciiTheme="majorHAnsi" w:hAnsiTheme="majorHAnsi" w:cstheme="majorHAnsi"/>
          <w:lang w:val="en-GB"/>
        </w:rPr>
        <w:t>Monteput</w:t>
      </w:r>
      <w:proofErr w:type="spellEnd"/>
      <w:r w:rsidRPr="00EC3B34">
        <w:rPr>
          <w:rFonts w:asciiTheme="majorHAnsi" w:hAnsiTheme="majorHAnsi" w:cstheme="majorHAnsi"/>
          <w:lang w:val="en-GB"/>
        </w:rPr>
        <w:t>", which is under the authority of the Ministry of Transport and Maritime Affairs.</w:t>
      </w:r>
      <w:r w:rsidR="008C4D1E" w:rsidRPr="00EC3B34">
        <w:rPr>
          <w:rStyle w:val="FootnoteReference"/>
          <w:rFonts w:asciiTheme="majorHAnsi" w:hAnsiTheme="majorHAnsi" w:cstheme="majorHAnsi"/>
          <w:lang w:val="en-GB"/>
        </w:rPr>
        <w:footnoteReference w:id="5"/>
      </w:r>
      <w:r w:rsidR="00644DB2" w:rsidRPr="00EC3B34">
        <w:rPr>
          <w:rFonts w:asciiTheme="majorHAnsi" w:hAnsiTheme="majorHAnsi" w:cstheme="majorHAnsi"/>
          <w:lang w:val="en-GB"/>
        </w:rPr>
        <w:t xml:space="preserve"> </w:t>
      </w:r>
    </w:p>
    <w:p w:rsidR="004746D1" w:rsidRPr="00EC3B34" w:rsidRDefault="004746D1" w:rsidP="009F774D">
      <w:pPr>
        <w:spacing w:after="0" w:line="240" w:lineRule="auto"/>
        <w:jc w:val="both"/>
        <w:rPr>
          <w:rFonts w:asciiTheme="majorHAnsi" w:hAnsiTheme="majorHAnsi" w:cstheme="majorHAnsi"/>
          <w:lang w:val="en-GB"/>
        </w:rPr>
      </w:pPr>
    </w:p>
    <w:p w:rsidR="00101357" w:rsidRPr="00EC3B34" w:rsidRDefault="0067557E" w:rsidP="009F774D">
      <w:pPr>
        <w:spacing w:after="0" w:line="240" w:lineRule="auto"/>
        <w:jc w:val="both"/>
        <w:rPr>
          <w:rFonts w:asciiTheme="majorHAnsi" w:hAnsiTheme="majorHAnsi" w:cstheme="majorHAnsi"/>
          <w:lang w:val="en-GB"/>
        </w:rPr>
      </w:pPr>
      <w:r w:rsidRPr="00EC3B34">
        <w:rPr>
          <w:rFonts w:asciiTheme="majorHAnsi" w:hAnsiTheme="majorHAnsi" w:cstheme="majorHAnsi"/>
          <w:lang w:val="en-GB"/>
        </w:rPr>
        <w:t xml:space="preserve">When it comes to reports, in its analysis, MANS focused on the actions of the competent commission during control of works on facilities whose construction had a special impact on the Tara River and the area under special UNESCO protection. In this way, special attention </w:t>
      </w:r>
      <w:proofErr w:type="gramStart"/>
      <w:r w:rsidRPr="00EC3B34">
        <w:rPr>
          <w:rFonts w:asciiTheme="majorHAnsi" w:hAnsiTheme="majorHAnsi" w:cstheme="majorHAnsi"/>
          <w:lang w:val="en-GB"/>
        </w:rPr>
        <w:t>was paid</w:t>
      </w:r>
      <w:proofErr w:type="gramEnd"/>
      <w:r w:rsidRPr="00EC3B34">
        <w:rPr>
          <w:rFonts w:asciiTheme="majorHAnsi" w:hAnsiTheme="majorHAnsi" w:cstheme="majorHAnsi"/>
          <w:lang w:val="en-GB"/>
        </w:rPr>
        <w:t xml:space="preserve"> to the analysis of reports related to the </w:t>
      </w:r>
      <w:r w:rsidRPr="00EC3B34">
        <w:rPr>
          <w:rFonts w:asciiTheme="majorHAnsi" w:hAnsiTheme="majorHAnsi" w:cstheme="majorHAnsi"/>
          <w:lang w:val="en-GB"/>
        </w:rPr>
        <w:lastRenderedPageBreak/>
        <w:t xml:space="preserve">works on the construction of the </w:t>
      </w:r>
      <w:r w:rsidR="00644DB2" w:rsidRPr="00EC3B34">
        <w:rPr>
          <w:rFonts w:asciiTheme="majorHAnsi" w:hAnsiTheme="majorHAnsi" w:cstheme="majorHAnsi"/>
          <w:lang w:val="en-GB"/>
        </w:rPr>
        <w:t xml:space="preserve">bridges </w:t>
      </w:r>
      <w:r w:rsidRPr="00EC3B34">
        <w:rPr>
          <w:rFonts w:asciiTheme="majorHAnsi" w:hAnsiTheme="majorHAnsi" w:cstheme="majorHAnsi"/>
          <w:lang w:val="en-GB"/>
        </w:rPr>
        <w:t xml:space="preserve">Tara 1 and Tara 2, as well as </w:t>
      </w:r>
      <w:proofErr w:type="spellStart"/>
      <w:r w:rsidRPr="00EC3B34">
        <w:rPr>
          <w:rFonts w:asciiTheme="majorHAnsi" w:hAnsiTheme="majorHAnsi" w:cstheme="majorHAnsi"/>
          <w:lang w:val="en-GB"/>
        </w:rPr>
        <w:t>Mateševo</w:t>
      </w:r>
      <w:proofErr w:type="spellEnd"/>
      <w:r w:rsidRPr="00EC3B34">
        <w:rPr>
          <w:rFonts w:asciiTheme="majorHAnsi" w:hAnsiTheme="majorHAnsi" w:cstheme="majorHAnsi"/>
          <w:lang w:val="en-GB"/>
        </w:rPr>
        <w:t xml:space="preserve"> loop. </w:t>
      </w:r>
      <w:proofErr w:type="gramStart"/>
      <w:r w:rsidRPr="00EC3B34">
        <w:rPr>
          <w:rFonts w:asciiTheme="majorHAnsi" w:hAnsiTheme="majorHAnsi" w:cstheme="majorHAnsi"/>
          <w:lang w:val="en-GB"/>
        </w:rPr>
        <w:t>A total of 54</w:t>
      </w:r>
      <w:proofErr w:type="gramEnd"/>
      <w:r w:rsidRPr="00EC3B34">
        <w:rPr>
          <w:rFonts w:asciiTheme="majorHAnsi" w:hAnsiTheme="majorHAnsi" w:cstheme="majorHAnsi"/>
          <w:lang w:val="en-GB"/>
        </w:rPr>
        <w:t xml:space="preserve"> reports submitted to </w:t>
      </w:r>
      <w:r w:rsidR="004B0FEF">
        <w:rPr>
          <w:rFonts w:asciiTheme="majorHAnsi" w:hAnsiTheme="majorHAnsi" w:cstheme="majorHAnsi"/>
          <w:lang w:val="en-GB"/>
        </w:rPr>
        <w:t>MANS</w:t>
      </w:r>
      <w:r w:rsidRPr="00EC3B34">
        <w:rPr>
          <w:rFonts w:asciiTheme="majorHAnsi" w:hAnsiTheme="majorHAnsi" w:cstheme="majorHAnsi"/>
          <w:lang w:val="en-GB"/>
        </w:rPr>
        <w:t xml:space="preserve"> </w:t>
      </w:r>
      <w:r w:rsidR="00644DB2" w:rsidRPr="00EC3B34">
        <w:rPr>
          <w:rFonts w:asciiTheme="majorHAnsi" w:hAnsiTheme="majorHAnsi" w:cstheme="majorHAnsi"/>
          <w:lang w:val="en-GB"/>
        </w:rPr>
        <w:t>according to</w:t>
      </w:r>
      <w:r w:rsidRPr="00EC3B34">
        <w:rPr>
          <w:rFonts w:asciiTheme="majorHAnsi" w:hAnsiTheme="majorHAnsi" w:cstheme="majorHAnsi"/>
          <w:lang w:val="en-GB"/>
        </w:rPr>
        <w:t xml:space="preserve"> the Law on Free Acce</w:t>
      </w:r>
      <w:r w:rsidR="00644DB2" w:rsidRPr="00EC3B34">
        <w:rPr>
          <w:rFonts w:asciiTheme="majorHAnsi" w:hAnsiTheme="majorHAnsi" w:cstheme="majorHAnsi"/>
          <w:lang w:val="en-GB"/>
        </w:rPr>
        <w:t xml:space="preserve">ss to Information were </w:t>
      </w:r>
      <w:r w:rsidR="004B0FEF" w:rsidRPr="00EC3B34">
        <w:rPr>
          <w:rFonts w:asciiTheme="majorHAnsi" w:hAnsiTheme="majorHAnsi" w:cstheme="majorHAnsi"/>
          <w:lang w:val="en-GB"/>
        </w:rPr>
        <w:t>analysed</w:t>
      </w:r>
      <w:r w:rsidR="0080308D" w:rsidRPr="00EC3B34">
        <w:rPr>
          <w:rFonts w:asciiTheme="majorHAnsi" w:hAnsiTheme="majorHAnsi" w:cstheme="majorHAnsi"/>
          <w:lang w:val="en-GB"/>
        </w:rPr>
        <w:t>.</w:t>
      </w:r>
      <w:r w:rsidR="007B3FD2" w:rsidRPr="00EC3B34">
        <w:rPr>
          <w:rStyle w:val="FootnoteReference"/>
          <w:rFonts w:asciiTheme="majorHAnsi" w:hAnsiTheme="majorHAnsi" w:cstheme="majorHAnsi"/>
          <w:lang w:val="en-GB"/>
        </w:rPr>
        <w:footnoteReference w:id="6"/>
      </w:r>
      <w:r w:rsidR="0080308D" w:rsidRPr="00EC3B34">
        <w:rPr>
          <w:rFonts w:asciiTheme="majorHAnsi" w:hAnsiTheme="majorHAnsi" w:cstheme="majorHAnsi"/>
          <w:lang w:val="en-GB"/>
        </w:rPr>
        <w:t xml:space="preserve"> </w:t>
      </w:r>
    </w:p>
    <w:p w:rsidR="00DB39B1" w:rsidRPr="00EC3B34" w:rsidRDefault="00DB39B1" w:rsidP="009F774D">
      <w:pPr>
        <w:spacing w:after="0" w:line="240" w:lineRule="auto"/>
        <w:jc w:val="both"/>
        <w:rPr>
          <w:rFonts w:asciiTheme="majorHAnsi" w:hAnsiTheme="majorHAnsi" w:cstheme="majorHAnsi"/>
          <w:lang w:val="en-GB"/>
        </w:rPr>
      </w:pPr>
    </w:p>
    <w:p w:rsidR="0080308D" w:rsidRPr="00EC3B34" w:rsidRDefault="00DB39B1" w:rsidP="009F774D">
      <w:pPr>
        <w:spacing w:after="0" w:line="240" w:lineRule="auto"/>
        <w:jc w:val="both"/>
        <w:rPr>
          <w:rFonts w:asciiTheme="majorHAnsi" w:hAnsiTheme="majorHAnsi" w:cstheme="majorHAnsi"/>
          <w:lang w:val="en-GB"/>
        </w:rPr>
      </w:pPr>
      <w:r w:rsidRPr="00EC3B34">
        <w:rPr>
          <w:rFonts w:asciiTheme="majorHAnsi" w:hAnsiTheme="majorHAnsi" w:cstheme="majorHAnsi"/>
          <w:lang w:val="en-GB"/>
        </w:rPr>
        <w:t xml:space="preserve">The reports have shown that </w:t>
      </w:r>
      <w:proofErr w:type="gramStart"/>
      <w:r w:rsidRPr="00EC3B34">
        <w:rPr>
          <w:rFonts w:asciiTheme="majorHAnsi" w:hAnsiTheme="majorHAnsi" w:cstheme="majorHAnsi"/>
          <w:lang w:val="en-GB"/>
        </w:rPr>
        <w:t>the construction of subsection 4.4.1 is predominantly performed by China Road and Bridge Corporation (CRBC)</w:t>
      </w:r>
      <w:proofErr w:type="gramEnd"/>
      <w:r w:rsidRPr="00EC3B34">
        <w:rPr>
          <w:rFonts w:asciiTheme="majorHAnsi" w:hAnsiTheme="majorHAnsi" w:cstheme="majorHAnsi"/>
          <w:lang w:val="en-GB"/>
        </w:rPr>
        <w:t xml:space="preserve">, while in 2018, </w:t>
      </w:r>
      <w:r w:rsidR="004B0FEF">
        <w:rPr>
          <w:rFonts w:asciiTheme="majorHAnsi" w:hAnsiTheme="majorHAnsi" w:cstheme="majorHAnsi"/>
          <w:lang w:val="en-GB"/>
        </w:rPr>
        <w:t>when the works began</w:t>
      </w:r>
      <w:r w:rsidRPr="00EC3B34">
        <w:rPr>
          <w:rFonts w:asciiTheme="majorHAnsi" w:hAnsiTheme="majorHAnsi" w:cstheme="majorHAnsi"/>
          <w:lang w:val="en-GB"/>
        </w:rPr>
        <w:t xml:space="preserve">, the company </w:t>
      </w:r>
      <w:proofErr w:type="spellStart"/>
      <w:r w:rsidRPr="00EC3B34">
        <w:rPr>
          <w:rFonts w:asciiTheme="majorHAnsi" w:hAnsiTheme="majorHAnsi" w:cstheme="majorHAnsi"/>
          <w:lang w:val="en-GB"/>
        </w:rPr>
        <w:t>Skladgradnja</w:t>
      </w:r>
      <w:proofErr w:type="spellEnd"/>
      <w:r w:rsidRPr="00EC3B34">
        <w:rPr>
          <w:rFonts w:asciiTheme="majorHAnsi" w:hAnsiTheme="majorHAnsi" w:cstheme="majorHAnsi"/>
          <w:lang w:val="en-GB"/>
        </w:rPr>
        <w:t xml:space="preserve"> Split from Croatia</w:t>
      </w:r>
      <w:r w:rsidR="0081183B">
        <w:rPr>
          <w:rFonts w:asciiTheme="majorHAnsi" w:hAnsiTheme="majorHAnsi" w:cstheme="majorHAnsi"/>
          <w:lang w:val="en-GB"/>
        </w:rPr>
        <w:t xml:space="preserve"> was still performing works there</w:t>
      </w:r>
      <w:r w:rsidRPr="00EC3B34">
        <w:rPr>
          <w:rFonts w:asciiTheme="majorHAnsi" w:hAnsiTheme="majorHAnsi" w:cstheme="majorHAnsi"/>
          <w:lang w:val="en-GB"/>
        </w:rPr>
        <w:t xml:space="preserve">, which in the meantime left the job, and CRBC took over its works. Most of the </w:t>
      </w:r>
      <w:r w:rsidR="0081183B" w:rsidRPr="00EC3B34">
        <w:rPr>
          <w:rFonts w:asciiTheme="majorHAnsi" w:hAnsiTheme="majorHAnsi" w:cstheme="majorHAnsi"/>
          <w:lang w:val="en-GB"/>
        </w:rPr>
        <w:t>analysed</w:t>
      </w:r>
      <w:r w:rsidRPr="00EC3B34">
        <w:rPr>
          <w:rFonts w:asciiTheme="majorHAnsi" w:hAnsiTheme="majorHAnsi" w:cstheme="majorHAnsi"/>
          <w:lang w:val="en-GB"/>
        </w:rPr>
        <w:t xml:space="preserve"> documents contained the commission's findings on certain shortcomings and non-compliance with recommendations made in previous reports regarding the procedures for the construction of bridges Tara 1 and Tara 2, as well as </w:t>
      </w:r>
      <w:proofErr w:type="spellStart"/>
      <w:r w:rsidRPr="00EC3B34">
        <w:rPr>
          <w:rFonts w:asciiTheme="majorHAnsi" w:hAnsiTheme="majorHAnsi" w:cstheme="majorHAnsi"/>
          <w:lang w:val="en-GB"/>
        </w:rPr>
        <w:t>Mateševo</w:t>
      </w:r>
      <w:proofErr w:type="spellEnd"/>
      <w:r w:rsidRPr="00EC3B34">
        <w:rPr>
          <w:rFonts w:asciiTheme="majorHAnsi" w:hAnsiTheme="majorHAnsi" w:cstheme="majorHAnsi"/>
          <w:lang w:val="en-GB"/>
        </w:rPr>
        <w:t xml:space="preserve"> loop, and in only a few reports the commission stated that the works were being carried out in full compliance with the procedure.</w:t>
      </w:r>
    </w:p>
    <w:p w:rsidR="00F73DAF" w:rsidRPr="00EC3B34" w:rsidRDefault="00F73DAF" w:rsidP="009F774D">
      <w:pPr>
        <w:spacing w:after="0" w:line="240" w:lineRule="auto"/>
        <w:jc w:val="both"/>
        <w:rPr>
          <w:rFonts w:asciiTheme="majorHAnsi" w:hAnsiTheme="majorHAnsi" w:cstheme="majorHAnsi"/>
          <w:lang w:val="en-GB"/>
        </w:rPr>
      </w:pPr>
    </w:p>
    <w:p w:rsidR="00F73DAF" w:rsidRPr="00EC3B34" w:rsidRDefault="00DB39B1" w:rsidP="00DB39B1">
      <w:pPr>
        <w:spacing w:after="0" w:line="240" w:lineRule="auto"/>
        <w:jc w:val="both"/>
        <w:rPr>
          <w:rFonts w:asciiTheme="majorHAnsi" w:hAnsiTheme="majorHAnsi" w:cstheme="majorHAnsi"/>
          <w:lang w:val="en-GB"/>
        </w:rPr>
      </w:pPr>
      <w:r w:rsidRPr="00EC3B34">
        <w:rPr>
          <w:rFonts w:asciiTheme="majorHAnsi" w:hAnsiTheme="majorHAnsi" w:cstheme="majorHAnsi"/>
          <w:lang w:val="en-GB"/>
        </w:rPr>
        <w:t>Key objections of the Commission for technical inspection of works were:</w:t>
      </w:r>
    </w:p>
    <w:p w:rsidR="00F73DAF" w:rsidRPr="00EC3B34" w:rsidRDefault="00F73DAF" w:rsidP="009F774D">
      <w:pPr>
        <w:spacing w:after="0" w:line="240" w:lineRule="auto"/>
        <w:jc w:val="both"/>
        <w:rPr>
          <w:rFonts w:asciiTheme="majorHAnsi" w:hAnsiTheme="majorHAnsi" w:cstheme="majorHAnsi"/>
          <w:lang w:val="en-GB"/>
        </w:rPr>
      </w:pPr>
    </w:p>
    <w:p w:rsidR="00DB39B1" w:rsidRPr="00EC3B34" w:rsidRDefault="00DB39B1" w:rsidP="00DB39B1">
      <w:pPr>
        <w:pStyle w:val="ListParagraph"/>
        <w:numPr>
          <w:ilvl w:val="0"/>
          <w:numId w:val="4"/>
        </w:numPr>
        <w:spacing w:after="0" w:line="240" w:lineRule="auto"/>
        <w:jc w:val="both"/>
        <w:rPr>
          <w:rFonts w:asciiTheme="majorHAnsi" w:hAnsiTheme="majorHAnsi" w:cstheme="majorHAnsi"/>
          <w:lang w:val="en-GB"/>
        </w:rPr>
      </w:pPr>
      <w:r w:rsidRPr="00EC3B34">
        <w:rPr>
          <w:rFonts w:asciiTheme="majorHAnsi" w:hAnsiTheme="majorHAnsi" w:cstheme="majorHAnsi"/>
          <w:lang w:val="en-GB"/>
        </w:rPr>
        <w:t>the projects of installed concrete and reinforcement are not shown</w:t>
      </w:r>
    </w:p>
    <w:p w:rsidR="00DB39B1" w:rsidRPr="00EC3B34" w:rsidRDefault="00DB39B1" w:rsidP="00DB39B1">
      <w:pPr>
        <w:pStyle w:val="ListParagraph"/>
        <w:numPr>
          <w:ilvl w:val="0"/>
          <w:numId w:val="4"/>
        </w:numPr>
        <w:spacing w:after="0" w:line="240" w:lineRule="auto"/>
        <w:jc w:val="both"/>
        <w:rPr>
          <w:rFonts w:asciiTheme="majorHAnsi" w:hAnsiTheme="majorHAnsi" w:cstheme="majorHAnsi"/>
          <w:lang w:val="en-GB"/>
        </w:rPr>
      </w:pPr>
      <w:r w:rsidRPr="00EC3B34">
        <w:rPr>
          <w:rFonts w:asciiTheme="majorHAnsi" w:hAnsiTheme="majorHAnsi" w:cstheme="majorHAnsi"/>
          <w:lang w:val="en-GB"/>
        </w:rPr>
        <w:t>the results of ongoing tests of installed materials are not presented</w:t>
      </w:r>
    </w:p>
    <w:p w:rsidR="00236103" w:rsidRPr="00EC3B34" w:rsidRDefault="00DB39B1" w:rsidP="000850A7">
      <w:pPr>
        <w:pStyle w:val="ListParagraph"/>
        <w:numPr>
          <w:ilvl w:val="0"/>
          <w:numId w:val="4"/>
        </w:numPr>
        <w:spacing w:after="0" w:line="240" w:lineRule="auto"/>
        <w:jc w:val="both"/>
        <w:rPr>
          <w:rFonts w:asciiTheme="majorHAnsi" w:hAnsiTheme="majorHAnsi" w:cstheme="majorHAnsi"/>
          <w:lang w:val="en-GB"/>
        </w:rPr>
      </w:pPr>
      <w:r w:rsidRPr="00EC3B34">
        <w:rPr>
          <w:rFonts w:asciiTheme="majorHAnsi" w:hAnsiTheme="majorHAnsi" w:cstheme="majorHAnsi"/>
          <w:lang w:val="en-GB"/>
        </w:rPr>
        <w:t>tests</w:t>
      </w:r>
      <w:r w:rsidR="000850A7" w:rsidRPr="00EC3B34">
        <w:rPr>
          <w:rFonts w:asciiTheme="majorHAnsi" w:hAnsiTheme="majorHAnsi" w:cstheme="majorHAnsi"/>
          <w:lang w:val="en-GB"/>
        </w:rPr>
        <w:t xml:space="preserve"> of</w:t>
      </w:r>
      <w:r w:rsidR="000850A7" w:rsidRPr="00EC3B34">
        <w:rPr>
          <w:lang w:val="en-GB"/>
        </w:rPr>
        <w:t xml:space="preserve"> </w:t>
      </w:r>
      <w:r w:rsidR="000850A7" w:rsidRPr="00EC3B34">
        <w:rPr>
          <w:rFonts w:asciiTheme="majorHAnsi" w:hAnsiTheme="majorHAnsi" w:cstheme="majorHAnsi"/>
          <w:lang w:val="en-GB"/>
        </w:rPr>
        <w:t>material</w:t>
      </w:r>
      <w:r w:rsidRPr="00EC3B34">
        <w:rPr>
          <w:rFonts w:asciiTheme="majorHAnsi" w:hAnsiTheme="majorHAnsi" w:cstheme="majorHAnsi"/>
          <w:lang w:val="en-GB"/>
        </w:rPr>
        <w:t xml:space="preserve"> did not give satisfactory results; recompression ordered</w:t>
      </w:r>
    </w:p>
    <w:p w:rsidR="00F73DAF" w:rsidRPr="00EC3B34" w:rsidRDefault="000850A7" w:rsidP="000850A7">
      <w:pPr>
        <w:pStyle w:val="ListParagraph"/>
        <w:numPr>
          <w:ilvl w:val="0"/>
          <w:numId w:val="4"/>
        </w:numPr>
        <w:spacing w:after="0" w:line="240" w:lineRule="auto"/>
        <w:jc w:val="both"/>
        <w:rPr>
          <w:rFonts w:asciiTheme="majorHAnsi" w:hAnsiTheme="majorHAnsi" w:cstheme="majorHAnsi"/>
          <w:lang w:val="en-GB"/>
        </w:rPr>
      </w:pPr>
      <w:r w:rsidRPr="00EC3B34">
        <w:rPr>
          <w:rFonts w:asciiTheme="majorHAnsi" w:hAnsiTheme="majorHAnsi" w:cstheme="majorHAnsi"/>
          <w:lang w:val="en-GB"/>
        </w:rPr>
        <w:t>no decisions on the selection of the chief engineer were presented</w:t>
      </w:r>
    </w:p>
    <w:p w:rsidR="00F73DAF" w:rsidRPr="00EC3B34" w:rsidRDefault="000850A7" w:rsidP="000850A7">
      <w:pPr>
        <w:pStyle w:val="ListParagraph"/>
        <w:numPr>
          <w:ilvl w:val="0"/>
          <w:numId w:val="4"/>
        </w:numPr>
        <w:spacing w:after="0" w:line="240" w:lineRule="auto"/>
        <w:jc w:val="both"/>
        <w:rPr>
          <w:rFonts w:asciiTheme="majorHAnsi" w:hAnsiTheme="majorHAnsi" w:cstheme="majorHAnsi"/>
          <w:lang w:val="en-GB"/>
        </w:rPr>
      </w:pPr>
      <w:r w:rsidRPr="00EC3B34">
        <w:rPr>
          <w:rFonts w:asciiTheme="majorHAnsi" w:hAnsiTheme="majorHAnsi" w:cstheme="majorHAnsi"/>
          <w:lang w:val="en-GB"/>
        </w:rPr>
        <w:t>no decisions on the selection of engineers for individual phases were presented</w:t>
      </w:r>
    </w:p>
    <w:p w:rsidR="00F73DAF" w:rsidRPr="00EC3B34" w:rsidRDefault="000850A7" w:rsidP="000850A7">
      <w:pPr>
        <w:pStyle w:val="ListParagraph"/>
        <w:numPr>
          <w:ilvl w:val="0"/>
          <w:numId w:val="4"/>
        </w:numPr>
        <w:spacing w:after="0" w:line="240" w:lineRule="auto"/>
        <w:jc w:val="both"/>
        <w:rPr>
          <w:rFonts w:asciiTheme="majorHAnsi" w:hAnsiTheme="majorHAnsi" w:cstheme="majorHAnsi"/>
          <w:lang w:val="en-GB"/>
        </w:rPr>
      </w:pPr>
      <w:proofErr w:type="gramStart"/>
      <w:r w:rsidRPr="00EC3B34">
        <w:rPr>
          <w:rFonts w:asciiTheme="majorHAnsi" w:hAnsiTheme="majorHAnsi" w:cstheme="majorHAnsi"/>
          <w:lang w:val="en-GB"/>
        </w:rPr>
        <w:t>geological</w:t>
      </w:r>
      <w:proofErr w:type="gramEnd"/>
      <w:r w:rsidRPr="00EC3B34">
        <w:rPr>
          <w:rFonts w:asciiTheme="majorHAnsi" w:hAnsiTheme="majorHAnsi" w:cstheme="majorHAnsi"/>
          <w:lang w:val="en-GB"/>
        </w:rPr>
        <w:t xml:space="preserve"> reports are not signed by the designated person for this phase of the project</w:t>
      </w:r>
      <w:r w:rsidR="00F73DAF" w:rsidRPr="00EC3B34">
        <w:rPr>
          <w:rFonts w:asciiTheme="majorHAnsi" w:hAnsiTheme="majorHAnsi" w:cstheme="majorHAnsi"/>
          <w:lang w:val="en-GB"/>
        </w:rPr>
        <w:t>.</w:t>
      </w:r>
      <w:r w:rsidR="00236103" w:rsidRPr="00EC3B34">
        <w:rPr>
          <w:rStyle w:val="FootnoteReference"/>
          <w:rFonts w:asciiTheme="majorHAnsi" w:hAnsiTheme="majorHAnsi" w:cstheme="majorHAnsi"/>
          <w:lang w:val="en-GB"/>
        </w:rPr>
        <w:footnoteReference w:id="7"/>
      </w:r>
      <w:r w:rsidR="00F73DAF" w:rsidRPr="00EC3B34">
        <w:rPr>
          <w:rFonts w:asciiTheme="majorHAnsi" w:hAnsiTheme="majorHAnsi" w:cstheme="majorHAnsi"/>
          <w:lang w:val="en-GB"/>
        </w:rPr>
        <w:t xml:space="preserve"> </w:t>
      </w:r>
    </w:p>
    <w:p w:rsidR="00912839" w:rsidRPr="00EC3B34" w:rsidRDefault="00912839" w:rsidP="00811B37">
      <w:pPr>
        <w:spacing w:after="0" w:line="240" w:lineRule="auto"/>
        <w:jc w:val="both"/>
        <w:rPr>
          <w:rFonts w:asciiTheme="majorHAnsi" w:hAnsiTheme="majorHAnsi" w:cstheme="majorHAnsi"/>
          <w:lang w:val="en-GB"/>
        </w:rPr>
      </w:pPr>
    </w:p>
    <w:p w:rsidR="002E3644" w:rsidRPr="00EC3B34" w:rsidRDefault="002E3644" w:rsidP="00811B37">
      <w:pPr>
        <w:jc w:val="both"/>
        <w:rPr>
          <w:rFonts w:asciiTheme="majorHAnsi" w:hAnsiTheme="majorHAnsi" w:cstheme="majorHAnsi"/>
          <w:lang w:val="en-GB"/>
        </w:rPr>
      </w:pPr>
      <w:r w:rsidRPr="00EC3B34">
        <w:rPr>
          <w:rFonts w:asciiTheme="majorHAnsi" w:hAnsiTheme="majorHAnsi" w:cstheme="majorHAnsi"/>
          <w:lang w:val="en-GB"/>
        </w:rPr>
        <w:t>The biggest discovery was that in September 2018, the commission concluded that "Proj</w:t>
      </w:r>
      <w:r w:rsidR="00AD1998" w:rsidRPr="00EC3B34">
        <w:rPr>
          <w:rFonts w:asciiTheme="majorHAnsi" w:hAnsiTheme="majorHAnsi" w:cstheme="majorHAnsi"/>
          <w:lang w:val="en-GB"/>
        </w:rPr>
        <w:t>e</w:t>
      </w:r>
      <w:r w:rsidRPr="00EC3B34">
        <w:rPr>
          <w:rFonts w:asciiTheme="majorHAnsi" w:hAnsiTheme="majorHAnsi" w:cstheme="majorHAnsi"/>
          <w:lang w:val="en-GB"/>
        </w:rPr>
        <w:t>ct of the concrete and construction methodology for the construction of the Tara 2 bridge pillars has not been officially adop</w:t>
      </w:r>
      <w:r w:rsidR="00AD1998" w:rsidRPr="00EC3B34">
        <w:rPr>
          <w:rFonts w:asciiTheme="majorHAnsi" w:hAnsiTheme="majorHAnsi" w:cstheme="majorHAnsi"/>
          <w:lang w:val="en-GB"/>
        </w:rPr>
        <w:t>ted - approved by the engineers/</w:t>
      </w:r>
      <w:r w:rsidRPr="00EC3B34">
        <w:rPr>
          <w:rFonts w:asciiTheme="majorHAnsi" w:hAnsiTheme="majorHAnsi" w:cstheme="majorHAnsi"/>
          <w:lang w:val="en-GB"/>
        </w:rPr>
        <w:t>supervisors, although the works on the construction of the pillars are ongoing."</w:t>
      </w:r>
      <w:r w:rsidR="00AD1998" w:rsidRPr="00EC3B34">
        <w:rPr>
          <w:rStyle w:val="FootnoteReference"/>
          <w:rFonts w:asciiTheme="majorHAnsi" w:hAnsiTheme="majorHAnsi" w:cstheme="majorHAnsi"/>
          <w:lang w:val="en-GB"/>
        </w:rPr>
        <w:t xml:space="preserve"> </w:t>
      </w:r>
      <w:r w:rsidR="00AD1998" w:rsidRPr="00EC3B34">
        <w:rPr>
          <w:rStyle w:val="FootnoteReference"/>
          <w:rFonts w:asciiTheme="majorHAnsi" w:hAnsiTheme="majorHAnsi" w:cstheme="majorHAnsi"/>
          <w:lang w:val="en-GB"/>
        </w:rPr>
        <w:footnoteReference w:id="8"/>
      </w:r>
      <w:r w:rsidRPr="00EC3B34">
        <w:rPr>
          <w:rFonts w:asciiTheme="majorHAnsi" w:hAnsiTheme="majorHAnsi" w:cstheme="majorHAnsi"/>
          <w:lang w:val="en-GB"/>
        </w:rPr>
        <w:t xml:space="preserve"> </w:t>
      </w:r>
      <w:proofErr w:type="gramStart"/>
      <w:r w:rsidR="00AD1998" w:rsidRPr="00EC3B34">
        <w:rPr>
          <w:rFonts w:asciiTheme="majorHAnsi" w:hAnsiTheme="majorHAnsi" w:cstheme="majorHAnsi"/>
          <w:lang w:val="en-GB"/>
        </w:rPr>
        <w:t>Basically</w:t>
      </w:r>
      <w:r w:rsidRPr="00EC3B34">
        <w:rPr>
          <w:rFonts w:asciiTheme="majorHAnsi" w:hAnsiTheme="majorHAnsi" w:cstheme="majorHAnsi"/>
          <w:lang w:val="en-GB"/>
        </w:rPr>
        <w:t>, this</w:t>
      </w:r>
      <w:proofErr w:type="gramEnd"/>
      <w:r w:rsidRPr="00EC3B34">
        <w:rPr>
          <w:rFonts w:asciiTheme="majorHAnsi" w:hAnsiTheme="majorHAnsi" w:cstheme="majorHAnsi"/>
          <w:lang w:val="en-GB"/>
        </w:rPr>
        <w:t xml:space="preserve"> means that CRBC performed works on the construction of bridges using concrete for which they did not have an adequate quality assessment, which resulted in a</w:t>
      </w:r>
      <w:r w:rsidR="00AD1998" w:rsidRPr="00EC3B34">
        <w:rPr>
          <w:rFonts w:asciiTheme="majorHAnsi" w:hAnsiTheme="majorHAnsi" w:cstheme="majorHAnsi"/>
          <w:lang w:val="en-GB"/>
        </w:rPr>
        <w:t xml:space="preserve">n </w:t>
      </w:r>
      <w:r w:rsidR="0081183B" w:rsidRPr="00EC3B34">
        <w:rPr>
          <w:rFonts w:asciiTheme="majorHAnsi" w:hAnsiTheme="majorHAnsi" w:cstheme="majorHAnsi"/>
          <w:lang w:val="en-GB"/>
        </w:rPr>
        <w:t>investigative</w:t>
      </w:r>
      <w:r w:rsidRPr="00EC3B34">
        <w:rPr>
          <w:rFonts w:asciiTheme="majorHAnsi" w:hAnsiTheme="majorHAnsi" w:cstheme="majorHAnsi"/>
          <w:lang w:val="en-GB"/>
        </w:rPr>
        <w:t xml:space="preserve"> story of MANS, published in April 2019.</w:t>
      </w:r>
      <w:r w:rsidR="00AD1998" w:rsidRPr="00EC3B34">
        <w:rPr>
          <w:rStyle w:val="FootnoteReference"/>
          <w:rFonts w:asciiTheme="majorHAnsi" w:hAnsiTheme="majorHAnsi" w:cstheme="majorHAnsi"/>
          <w:lang w:val="en-GB"/>
        </w:rPr>
        <w:footnoteReference w:id="9"/>
      </w:r>
    </w:p>
    <w:p w:rsidR="002E3644" w:rsidRPr="00EC3B34" w:rsidRDefault="002E3644" w:rsidP="00811B37">
      <w:pPr>
        <w:jc w:val="both"/>
        <w:rPr>
          <w:rFonts w:asciiTheme="majorHAnsi" w:hAnsiTheme="majorHAnsi" w:cstheme="majorHAnsi"/>
          <w:lang w:val="en-GB"/>
        </w:rPr>
      </w:pPr>
    </w:p>
    <w:p w:rsidR="00AD1998" w:rsidRPr="00EC3B34" w:rsidRDefault="00AD1998" w:rsidP="00745AFB">
      <w:pPr>
        <w:spacing w:after="0" w:line="240" w:lineRule="auto"/>
        <w:jc w:val="center"/>
        <w:rPr>
          <w:rFonts w:asciiTheme="majorHAnsi" w:hAnsiTheme="majorHAnsi" w:cstheme="majorHAnsi"/>
          <w:sz w:val="20"/>
          <w:lang w:val="en-GB"/>
        </w:rPr>
      </w:pPr>
      <w:r w:rsidRPr="00EC3B34">
        <w:rPr>
          <w:rFonts w:asciiTheme="majorHAnsi" w:hAnsiTheme="majorHAnsi" w:cstheme="majorHAnsi"/>
          <w:sz w:val="20"/>
          <w:lang w:val="en-GB"/>
        </w:rPr>
        <w:t xml:space="preserve">Photo 1: Part of one of the reports in which State Commission for technical inspection of works notes that construction procedures </w:t>
      </w:r>
      <w:proofErr w:type="gramStart"/>
      <w:r w:rsidRPr="00EC3B34">
        <w:rPr>
          <w:rFonts w:asciiTheme="majorHAnsi" w:hAnsiTheme="majorHAnsi" w:cstheme="majorHAnsi"/>
          <w:sz w:val="20"/>
          <w:lang w:val="en-GB"/>
        </w:rPr>
        <w:t>are not followed</w:t>
      </w:r>
      <w:proofErr w:type="gramEnd"/>
    </w:p>
    <w:p w:rsidR="00745AFB" w:rsidRPr="00EC3B34" w:rsidRDefault="00745AFB" w:rsidP="00745AFB">
      <w:pPr>
        <w:spacing w:after="0" w:line="240" w:lineRule="auto"/>
        <w:jc w:val="center"/>
        <w:rPr>
          <w:rFonts w:asciiTheme="majorHAnsi" w:hAnsiTheme="majorHAnsi" w:cstheme="majorHAnsi"/>
          <w:sz w:val="20"/>
          <w:lang w:val="en-GB"/>
        </w:rPr>
      </w:pPr>
      <w:r w:rsidRPr="00EC3B34">
        <w:rPr>
          <w:rFonts w:asciiTheme="majorHAnsi" w:hAnsiTheme="majorHAnsi" w:cstheme="majorHAnsi"/>
          <w:sz w:val="20"/>
          <w:lang w:val="en-GB"/>
        </w:rPr>
        <w:lastRenderedPageBreak/>
        <w:drawing>
          <wp:inline distT="0" distB="0" distL="0" distR="0" wp14:anchorId="6E134176" wp14:editId="73C34C97">
            <wp:extent cx="3802380" cy="30563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png"/>
                    <pic:cNvPicPr/>
                  </pic:nvPicPr>
                  <pic:blipFill>
                    <a:blip r:embed="rId11">
                      <a:extLst>
                        <a:ext uri="{28A0092B-C50C-407E-A947-70E740481C1C}">
                          <a14:useLocalDpi xmlns:a14="http://schemas.microsoft.com/office/drawing/2010/main" val="0"/>
                        </a:ext>
                      </a:extLst>
                    </a:blip>
                    <a:stretch>
                      <a:fillRect/>
                    </a:stretch>
                  </pic:blipFill>
                  <pic:spPr>
                    <a:xfrm>
                      <a:off x="0" y="0"/>
                      <a:ext cx="3845137" cy="3090743"/>
                    </a:xfrm>
                    <a:prstGeom prst="rect">
                      <a:avLst/>
                    </a:prstGeom>
                  </pic:spPr>
                </pic:pic>
              </a:graphicData>
            </a:graphic>
          </wp:inline>
        </w:drawing>
      </w:r>
    </w:p>
    <w:p w:rsidR="00D44A04" w:rsidRPr="00EC3B34" w:rsidRDefault="00D86627" w:rsidP="00745AFB">
      <w:pPr>
        <w:spacing w:after="0" w:line="240" w:lineRule="auto"/>
        <w:jc w:val="both"/>
        <w:rPr>
          <w:rFonts w:asciiTheme="majorHAnsi" w:hAnsiTheme="majorHAnsi" w:cstheme="majorHAnsi"/>
          <w:lang w:val="en-GB"/>
        </w:rPr>
      </w:pPr>
      <w:r w:rsidRPr="00EC3B34">
        <w:rPr>
          <w:rFonts w:asciiTheme="majorHAnsi" w:hAnsiTheme="majorHAnsi" w:cstheme="majorHAnsi"/>
          <w:lang w:val="en-GB"/>
        </w:rPr>
        <w:t>According to the rulebook of the Ministry of Sustainable Development and Tourism of Montenegro, the project of concrete construction is an integral part of the main project of the facility. It contains a technical description, calculation of load-bearing capacity and usability of the concrete structure, as well as a programme of quality control and quality assurance. The rulebook also defines that information on the origin of products/materials must be present on the construction site</w:t>
      </w:r>
      <w:r w:rsidR="00D44A04" w:rsidRPr="00EC3B34">
        <w:rPr>
          <w:rFonts w:asciiTheme="majorHAnsi" w:hAnsiTheme="majorHAnsi" w:cstheme="majorHAnsi"/>
          <w:lang w:val="en-GB"/>
        </w:rPr>
        <w:t>.</w:t>
      </w:r>
      <w:r w:rsidR="00D44A04" w:rsidRPr="00EC3B34">
        <w:rPr>
          <w:rStyle w:val="FootnoteReference"/>
          <w:rFonts w:asciiTheme="majorHAnsi" w:hAnsiTheme="majorHAnsi" w:cstheme="majorHAnsi"/>
          <w:lang w:val="en-GB"/>
        </w:rPr>
        <w:footnoteReference w:id="10"/>
      </w:r>
      <w:r w:rsidRPr="00EC3B34">
        <w:rPr>
          <w:rFonts w:asciiTheme="majorHAnsi" w:hAnsiTheme="majorHAnsi" w:cstheme="majorHAnsi"/>
          <w:lang w:val="en-GB"/>
        </w:rPr>
        <w:t xml:space="preserve"> </w:t>
      </w:r>
    </w:p>
    <w:p w:rsidR="00D86627" w:rsidRPr="00EC3B34" w:rsidRDefault="00D86627" w:rsidP="00745AFB">
      <w:pPr>
        <w:spacing w:after="0" w:line="240" w:lineRule="auto"/>
        <w:jc w:val="both"/>
        <w:rPr>
          <w:rFonts w:asciiTheme="majorHAnsi" w:hAnsiTheme="majorHAnsi" w:cstheme="majorHAnsi"/>
          <w:lang w:val="en-GB"/>
        </w:rPr>
      </w:pPr>
    </w:p>
    <w:p w:rsidR="00E714E5" w:rsidRPr="00EC3B34" w:rsidRDefault="00D86627" w:rsidP="00745AFB">
      <w:pPr>
        <w:spacing w:after="0" w:line="240" w:lineRule="auto"/>
        <w:jc w:val="both"/>
        <w:rPr>
          <w:rFonts w:asciiTheme="majorHAnsi" w:hAnsiTheme="majorHAnsi" w:cstheme="majorHAnsi"/>
          <w:lang w:val="en-GB"/>
        </w:rPr>
      </w:pPr>
      <w:r w:rsidRPr="00EC3B34">
        <w:rPr>
          <w:rFonts w:asciiTheme="majorHAnsi" w:hAnsiTheme="majorHAnsi" w:cstheme="majorHAnsi"/>
          <w:lang w:val="en-GB"/>
        </w:rPr>
        <w:t>0.35% of the total contracted price for the construction of the highway, i</w:t>
      </w:r>
      <w:r w:rsidR="002E7C71" w:rsidRPr="00EC3B34">
        <w:rPr>
          <w:rFonts w:asciiTheme="majorHAnsi" w:hAnsiTheme="majorHAnsi" w:cstheme="majorHAnsi"/>
          <w:lang w:val="en-GB"/>
        </w:rPr>
        <w:t>.</w:t>
      </w:r>
      <w:r w:rsidRPr="00EC3B34">
        <w:rPr>
          <w:rFonts w:asciiTheme="majorHAnsi" w:hAnsiTheme="majorHAnsi" w:cstheme="majorHAnsi"/>
          <w:lang w:val="en-GB"/>
        </w:rPr>
        <w:t>e</w:t>
      </w:r>
      <w:r w:rsidR="002E7C71" w:rsidRPr="00EC3B34">
        <w:rPr>
          <w:rFonts w:asciiTheme="majorHAnsi" w:hAnsiTheme="majorHAnsi" w:cstheme="majorHAnsi"/>
          <w:lang w:val="en-GB"/>
        </w:rPr>
        <w:t>.</w:t>
      </w:r>
      <w:r w:rsidRPr="00EC3B34">
        <w:rPr>
          <w:rFonts w:asciiTheme="majorHAnsi" w:hAnsiTheme="majorHAnsi" w:cstheme="majorHAnsi"/>
          <w:lang w:val="en-GB"/>
        </w:rPr>
        <w:t xml:space="preserve"> </w:t>
      </w:r>
      <w:r w:rsidR="002E7C71" w:rsidRPr="00EC3B34">
        <w:rPr>
          <w:rFonts w:asciiTheme="majorHAnsi" w:hAnsiTheme="majorHAnsi" w:cstheme="majorHAnsi"/>
          <w:lang w:val="en-GB"/>
        </w:rPr>
        <w:t>€</w:t>
      </w:r>
      <w:r w:rsidRPr="00EC3B34">
        <w:rPr>
          <w:rFonts w:asciiTheme="majorHAnsi" w:hAnsiTheme="majorHAnsi" w:cstheme="majorHAnsi"/>
          <w:lang w:val="en-GB"/>
        </w:rPr>
        <w:t xml:space="preserve"> 2,833,520.74, </w:t>
      </w:r>
      <w:proofErr w:type="gramStart"/>
      <w:r w:rsidRPr="00EC3B34">
        <w:rPr>
          <w:rFonts w:asciiTheme="majorHAnsi" w:hAnsiTheme="majorHAnsi" w:cstheme="majorHAnsi"/>
          <w:lang w:val="en-GB"/>
        </w:rPr>
        <w:t>has been allocated</w:t>
      </w:r>
      <w:proofErr w:type="gramEnd"/>
      <w:r w:rsidRPr="00EC3B34">
        <w:rPr>
          <w:rFonts w:asciiTheme="majorHAnsi" w:hAnsiTheme="majorHAnsi" w:cstheme="majorHAnsi"/>
          <w:lang w:val="en-GB"/>
        </w:rPr>
        <w:t xml:space="preserve"> for the work of the State Commission for </w:t>
      </w:r>
      <w:r w:rsidR="002E7C71" w:rsidRPr="00EC3B34">
        <w:rPr>
          <w:rFonts w:asciiTheme="majorHAnsi" w:hAnsiTheme="majorHAnsi" w:cstheme="majorHAnsi"/>
          <w:lang w:val="en-GB"/>
        </w:rPr>
        <w:t>technical inspection of works on the construction o</w:t>
      </w:r>
      <w:r w:rsidRPr="00EC3B34">
        <w:rPr>
          <w:rFonts w:asciiTheme="majorHAnsi" w:hAnsiTheme="majorHAnsi" w:cstheme="majorHAnsi"/>
          <w:lang w:val="en-GB"/>
        </w:rPr>
        <w:t xml:space="preserve">f the Bar - </w:t>
      </w:r>
      <w:proofErr w:type="spellStart"/>
      <w:r w:rsidRPr="00EC3B34">
        <w:rPr>
          <w:rFonts w:asciiTheme="majorHAnsi" w:hAnsiTheme="majorHAnsi" w:cstheme="majorHAnsi"/>
          <w:lang w:val="en-GB"/>
        </w:rPr>
        <w:t>Boljare</w:t>
      </w:r>
      <w:proofErr w:type="spellEnd"/>
      <w:r w:rsidRPr="00EC3B34">
        <w:rPr>
          <w:rFonts w:asciiTheme="majorHAnsi" w:hAnsiTheme="majorHAnsi" w:cstheme="majorHAnsi"/>
          <w:lang w:val="en-GB"/>
        </w:rPr>
        <w:t xml:space="preserve"> </w:t>
      </w:r>
      <w:r w:rsidR="002E7C71" w:rsidRPr="00EC3B34">
        <w:rPr>
          <w:rFonts w:asciiTheme="majorHAnsi" w:hAnsiTheme="majorHAnsi" w:cstheme="majorHAnsi"/>
          <w:lang w:val="en-GB"/>
        </w:rPr>
        <w:t>h</w:t>
      </w:r>
      <w:r w:rsidRPr="00EC3B34">
        <w:rPr>
          <w:rFonts w:asciiTheme="majorHAnsi" w:hAnsiTheme="majorHAnsi" w:cstheme="majorHAnsi"/>
          <w:lang w:val="en-GB"/>
        </w:rPr>
        <w:t>ighway.</w:t>
      </w:r>
      <w:r w:rsidR="002D266B" w:rsidRPr="00EC3B34">
        <w:rPr>
          <w:rStyle w:val="FootnoteReference"/>
          <w:rFonts w:asciiTheme="majorHAnsi" w:hAnsiTheme="majorHAnsi" w:cstheme="majorHAnsi"/>
          <w:lang w:val="en-GB"/>
        </w:rPr>
        <w:footnoteReference w:id="11"/>
      </w:r>
      <w:r w:rsidRPr="00EC3B34">
        <w:rPr>
          <w:rFonts w:asciiTheme="majorHAnsi" w:hAnsiTheme="majorHAnsi" w:cstheme="majorHAnsi"/>
          <w:lang w:val="en-GB"/>
        </w:rPr>
        <w:t xml:space="preserve"> On the other hand, </w:t>
      </w:r>
      <w:r w:rsidR="002D266B" w:rsidRPr="00EC3B34">
        <w:rPr>
          <w:rFonts w:asciiTheme="majorHAnsi" w:hAnsiTheme="majorHAnsi" w:cstheme="majorHAnsi"/>
          <w:lang w:val="en-GB"/>
        </w:rPr>
        <w:t xml:space="preserve">it is </w:t>
      </w:r>
      <w:r w:rsidR="002E7C71" w:rsidRPr="00EC3B34">
        <w:rPr>
          <w:rFonts w:asciiTheme="majorHAnsi" w:hAnsiTheme="majorHAnsi" w:cstheme="majorHAnsi"/>
          <w:lang w:val="en-GB"/>
        </w:rPr>
        <w:t>un</w:t>
      </w:r>
      <w:r w:rsidRPr="00EC3B34">
        <w:rPr>
          <w:rFonts w:asciiTheme="majorHAnsi" w:hAnsiTheme="majorHAnsi" w:cstheme="majorHAnsi"/>
          <w:lang w:val="en-GB"/>
        </w:rPr>
        <w:t>known whether</w:t>
      </w:r>
      <w:r w:rsidR="002E7C71" w:rsidRPr="00EC3B34">
        <w:rPr>
          <w:rFonts w:asciiTheme="majorHAnsi" w:hAnsiTheme="majorHAnsi" w:cstheme="majorHAnsi"/>
          <w:lang w:val="en-GB"/>
        </w:rPr>
        <w:t>,</w:t>
      </w:r>
      <w:r w:rsidRPr="00EC3B34">
        <w:rPr>
          <w:rFonts w:asciiTheme="majorHAnsi" w:hAnsiTheme="majorHAnsi" w:cstheme="majorHAnsi"/>
          <w:lang w:val="en-GB"/>
        </w:rPr>
        <w:t xml:space="preserve"> and if so, to what extent CRBC was responsible for the described omissions in </w:t>
      </w:r>
      <w:r w:rsidR="002E7C71" w:rsidRPr="00EC3B34">
        <w:rPr>
          <w:rFonts w:asciiTheme="majorHAnsi" w:hAnsiTheme="majorHAnsi" w:cstheme="majorHAnsi"/>
          <w:lang w:val="en-GB"/>
        </w:rPr>
        <w:t>performing</w:t>
      </w:r>
      <w:r w:rsidRPr="00EC3B34">
        <w:rPr>
          <w:rFonts w:asciiTheme="majorHAnsi" w:hAnsiTheme="majorHAnsi" w:cstheme="majorHAnsi"/>
          <w:lang w:val="en-GB"/>
        </w:rPr>
        <w:t xml:space="preserve"> of construction works, which were </w:t>
      </w:r>
      <w:proofErr w:type="gramStart"/>
      <w:r w:rsidRPr="00EC3B34">
        <w:rPr>
          <w:rFonts w:asciiTheme="majorHAnsi" w:hAnsiTheme="majorHAnsi" w:cstheme="majorHAnsi"/>
          <w:lang w:val="en-GB"/>
        </w:rPr>
        <w:t>obviously</w:t>
      </w:r>
      <w:proofErr w:type="gramEnd"/>
      <w:r w:rsidRPr="00EC3B34">
        <w:rPr>
          <w:rFonts w:asciiTheme="majorHAnsi" w:hAnsiTheme="majorHAnsi" w:cstheme="majorHAnsi"/>
          <w:lang w:val="en-GB"/>
        </w:rPr>
        <w:t xml:space="preserve"> repeated throughout 2018.</w:t>
      </w:r>
      <w:r w:rsidR="002E7C71" w:rsidRPr="00EC3B34">
        <w:rPr>
          <w:rFonts w:asciiTheme="majorHAnsi" w:hAnsiTheme="majorHAnsi" w:cstheme="majorHAnsi"/>
          <w:lang w:val="en-GB"/>
        </w:rPr>
        <w:t xml:space="preserve"> </w:t>
      </w:r>
    </w:p>
    <w:p w:rsidR="002D266B" w:rsidRPr="00EC3B34" w:rsidRDefault="002D266B" w:rsidP="00745AFB">
      <w:pPr>
        <w:spacing w:after="0" w:line="240" w:lineRule="auto"/>
        <w:jc w:val="both"/>
        <w:rPr>
          <w:rFonts w:asciiTheme="majorHAnsi" w:hAnsiTheme="majorHAnsi" w:cstheme="majorHAnsi"/>
          <w:lang w:val="en-GB"/>
        </w:rPr>
      </w:pPr>
    </w:p>
    <w:p w:rsidR="00236103" w:rsidRPr="00EC3B34" w:rsidRDefault="002D266B" w:rsidP="00236103">
      <w:pPr>
        <w:spacing w:after="0" w:line="240" w:lineRule="auto"/>
        <w:jc w:val="both"/>
        <w:rPr>
          <w:rFonts w:asciiTheme="majorHAnsi" w:hAnsiTheme="majorHAnsi" w:cstheme="majorHAnsi"/>
          <w:lang w:val="en-GB"/>
        </w:rPr>
      </w:pPr>
      <w:proofErr w:type="gramStart"/>
      <w:r w:rsidRPr="00EC3B34">
        <w:rPr>
          <w:rFonts w:asciiTheme="majorHAnsi" w:hAnsiTheme="majorHAnsi" w:cstheme="majorHAnsi"/>
          <w:lang w:val="en-GB"/>
        </w:rPr>
        <w:t>Due to extension of the deadline for completion of works for September 2020, which will cause an increased volume of works, at the Government session held on February 13, 2020, the Commission for Technical Inspection of works on the construction of the highway was allocated an additional € 720,000, which is why the work of the Commission will for now be paid in the amount of more than € 3,500,000.</w:t>
      </w:r>
      <w:r w:rsidR="00236103" w:rsidRPr="00EC3B34">
        <w:rPr>
          <w:rStyle w:val="FootnoteReference"/>
          <w:rFonts w:asciiTheme="majorHAnsi" w:hAnsiTheme="majorHAnsi" w:cstheme="majorHAnsi"/>
          <w:lang w:val="en-GB"/>
        </w:rPr>
        <w:footnoteReference w:id="12"/>
      </w:r>
      <w:bookmarkStart w:id="0" w:name="_GoBack"/>
      <w:bookmarkEnd w:id="0"/>
      <w:proofErr w:type="gramEnd"/>
    </w:p>
    <w:p w:rsidR="00912839" w:rsidRPr="00EC3B34" w:rsidRDefault="00912839" w:rsidP="00AA5507">
      <w:pPr>
        <w:spacing w:after="0" w:line="240" w:lineRule="auto"/>
        <w:rPr>
          <w:rFonts w:asciiTheme="majorHAnsi" w:hAnsiTheme="majorHAnsi" w:cstheme="majorHAnsi"/>
          <w:sz w:val="20"/>
          <w:lang w:val="en-GB"/>
        </w:rPr>
      </w:pPr>
    </w:p>
    <w:p w:rsidR="001C2AB7" w:rsidRPr="00EC3B34" w:rsidRDefault="001C2AB7" w:rsidP="00D44A04">
      <w:pPr>
        <w:spacing w:after="0" w:line="240" w:lineRule="auto"/>
        <w:jc w:val="both"/>
        <w:rPr>
          <w:rFonts w:asciiTheme="majorHAnsi" w:hAnsiTheme="majorHAnsi" w:cstheme="majorHAnsi"/>
          <w:lang w:val="en-GB"/>
        </w:rPr>
      </w:pPr>
    </w:p>
    <w:p w:rsidR="001C2AB7" w:rsidRPr="00EC3B34" w:rsidRDefault="001C2AB7" w:rsidP="001C2AB7">
      <w:pPr>
        <w:spacing w:after="0" w:line="240" w:lineRule="auto"/>
        <w:jc w:val="center"/>
        <w:rPr>
          <w:rFonts w:asciiTheme="majorHAnsi" w:hAnsiTheme="majorHAnsi" w:cstheme="majorHAnsi"/>
          <w:sz w:val="20"/>
          <w:lang w:val="en-GB"/>
        </w:rPr>
      </w:pPr>
    </w:p>
    <w:p w:rsidR="001C2AB7" w:rsidRPr="00EC3B34" w:rsidRDefault="001C2AB7" w:rsidP="001C2AB7">
      <w:pPr>
        <w:spacing w:after="0" w:line="240" w:lineRule="auto"/>
        <w:jc w:val="center"/>
        <w:rPr>
          <w:rFonts w:asciiTheme="majorHAnsi" w:hAnsiTheme="majorHAnsi" w:cstheme="majorHAnsi"/>
          <w:sz w:val="20"/>
          <w:lang w:val="en-GB"/>
        </w:rPr>
      </w:pPr>
    </w:p>
    <w:p w:rsidR="00582414" w:rsidRPr="00EC3B34" w:rsidRDefault="00582414" w:rsidP="00582414">
      <w:pPr>
        <w:spacing w:after="0" w:line="240" w:lineRule="auto"/>
        <w:jc w:val="center"/>
        <w:rPr>
          <w:rFonts w:asciiTheme="majorHAnsi" w:hAnsiTheme="majorHAnsi" w:cstheme="majorHAnsi"/>
          <w:sz w:val="20"/>
          <w:lang w:val="en-GB"/>
        </w:rPr>
      </w:pPr>
    </w:p>
    <w:p w:rsidR="00582414" w:rsidRDefault="00582414" w:rsidP="00582414">
      <w:pPr>
        <w:spacing w:after="0" w:line="240" w:lineRule="auto"/>
        <w:jc w:val="center"/>
        <w:rPr>
          <w:rFonts w:asciiTheme="majorHAnsi" w:hAnsiTheme="majorHAnsi" w:cstheme="majorHAnsi"/>
          <w:sz w:val="20"/>
        </w:rPr>
      </w:pPr>
    </w:p>
    <w:p w:rsidR="00236103" w:rsidRPr="007B3FD2" w:rsidRDefault="00236103">
      <w:pPr>
        <w:spacing w:after="0" w:line="240" w:lineRule="auto"/>
        <w:jc w:val="both"/>
        <w:rPr>
          <w:rFonts w:asciiTheme="majorHAnsi" w:hAnsiTheme="majorHAnsi" w:cstheme="majorHAnsi"/>
          <w:lang w:val="en-US"/>
        </w:rPr>
      </w:pPr>
    </w:p>
    <w:sectPr w:rsidR="00236103" w:rsidRPr="007B3FD2" w:rsidSect="00EE4D03">
      <w:footerReference w:type="even" r:id="rId12"/>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9F2" w:rsidRDefault="001949F2" w:rsidP="00017EE8">
      <w:pPr>
        <w:spacing w:after="0" w:line="240" w:lineRule="auto"/>
      </w:pPr>
      <w:r>
        <w:separator/>
      </w:r>
    </w:p>
  </w:endnote>
  <w:endnote w:type="continuationSeparator" w:id="0">
    <w:p w:rsidR="001949F2" w:rsidRDefault="001949F2" w:rsidP="00017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43194143"/>
      <w:docPartObj>
        <w:docPartGallery w:val="Page Numbers (Bottom of Page)"/>
        <w:docPartUnique/>
      </w:docPartObj>
    </w:sdtPr>
    <w:sdtEndPr>
      <w:rPr>
        <w:rStyle w:val="PageNumber"/>
      </w:rPr>
    </w:sdtEndPr>
    <w:sdtContent>
      <w:p w:rsidR="00EE4D03" w:rsidRDefault="005067A1" w:rsidP="00C24F0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E4D03" w:rsidRDefault="001949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7790400"/>
      <w:docPartObj>
        <w:docPartGallery w:val="Page Numbers (Bottom of Page)"/>
        <w:docPartUnique/>
      </w:docPartObj>
    </w:sdtPr>
    <w:sdtEndPr>
      <w:rPr>
        <w:rStyle w:val="PageNumber"/>
        <w:rFonts w:asciiTheme="majorHAnsi" w:hAnsiTheme="majorHAnsi" w:cstheme="majorHAnsi"/>
        <w:sz w:val="18"/>
        <w:szCs w:val="18"/>
      </w:rPr>
    </w:sdtEndPr>
    <w:sdtContent>
      <w:p w:rsidR="00EE4D03" w:rsidRPr="00EE4D03" w:rsidRDefault="005067A1" w:rsidP="00C24F0B">
        <w:pPr>
          <w:pStyle w:val="Footer"/>
          <w:framePr w:wrap="none" w:vAnchor="text" w:hAnchor="margin" w:xAlign="center" w:y="1"/>
          <w:rPr>
            <w:rStyle w:val="PageNumber"/>
            <w:rFonts w:asciiTheme="majorHAnsi" w:hAnsiTheme="majorHAnsi" w:cstheme="majorHAnsi"/>
            <w:sz w:val="18"/>
            <w:szCs w:val="18"/>
          </w:rPr>
        </w:pPr>
        <w:r w:rsidRPr="00EE4D03">
          <w:rPr>
            <w:rStyle w:val="PageNumber"/>
            <w:rFonts w:asciiTheme="majorHAnsi" w:hAnsiTheme="majorHAnsi" w:cstheme="majorHAnsi"/>
            <w:sz w:val="18"/>
            <w:szCs w:val="18"/>
          </w:rPr>
          <w:fldChar w:fldCharType="begin"/>
        </w:r>
        <w:r w:rsidRPr="00EE4D03">
          <w:rPr>
            <w:rStyle w:val="PageNumber"/>
            <w:rFonts w:asciiTheme="majorHAnsi" w:hAnsiTheme="majorHAnsi" w:cstheme="majorHAnsi"/>
            <w:sz w:val="18"/>
            <w:szCs w:val="18"/>
          </w:rPr>
          <w:instrText xml:space="preserve"> PAGE </w:instrText>
        </w:r>
        <w:r w:rsidRPr="00EE4D03">
          <w:rPr>
            <w:rStyle w:val="PageNumber"/>
            <w:rFonts w:asciiTheme="majorHAnsi" w:hAnsiTheme="majorHAnsi" w:cstheme="majorHAnsi"/>
            <w:sz w:val="18"/>
            <w:szCs w:val="18"/>
          </w:rPr>
          <w:fldChar w:fldCharType="separate"/>
        </w:r>
        <w:r w:rsidR="00F6003D">
          <w:rPr>
            <w:rStyle w:val="PageNumber"/>
            <w:rFonts w:asciiTheme="majorHAnsi" w:hAnsiTheme="majorHAnsi" w:cstheme="majorHAnsi"/>
            <w:noProof/>
            <w:sz w:val="18"/>
            <w:szCs w:val="18"/>
          </w:rPr>
          <w:t>3</w:t>
        </w:r>
        <w:r w:rsidRPr="00EE4D03">
          <w:rPr>
            <w:rStyle w:val="PageNumber"/>
            <w:rFonts w:asciiTheme="majorHAnsi" w:hAnsiTheme="majorHAnsi" w:cstheme="majorHAnsi"/>
            <w:sz w:val="18"/>
            <w:szCs w:val="18"/>
          </w:rPr>
          <w:fldChar w:fldCharType="end"/>
        </w:r>
      </w:p>
    </w:sdtContent>
  </w:sdt>
  <w:p w:rsidR="00EE4D03" w:rsidRDefault="00194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9F2" w:rsidRDefault="001949F2" w:rsidP="00017EE8">
      <w:pPr>
        <w:spacing w:after="0" w:line="240" w:lineRule="auto"/>
      </w:pPr>
      <w:r>
        <w:separator/>
      </w:r>
    </w:p>
  </w:footnote>
  <w:footnote w:type="continuationSeparator" w:id="0">
    <w:p w:rsidR="001949F2" w:rsidRDefault="001949F2" w:rsidP="00017EE8">
      <w:pPr>
        <w:spacing w:after="0" w:line="240" w:lineRule="auto"/>
      </w:pPr>
      <w:r>
        <w:continuationSeparator/>
      </w:r>
    </w:p>
  </w:footnote>
  <w:footnote w:id="1">
    <w:p w:rsidR="00247D77" w:rsidRPr="002408D1" w:rsidRDefault="00247D77" w:rsidP="004B0FEF">
      <w:pPr>
        <w:pStyle w:val="FootnoteText"/>
        <w:jc w:val="both"/>
        <w:rPr>
          <w:rFonts w:asciiTheme="majorHAnsi" w:hAnsiTheme="majorHAnsi" w:cstheme="majorHAnsi"/>
          <w:sz w:val="16"/>
          <w:lang w:val="en-US"/>
        </w:rPr>
      </w:pPr>
      <w:r w:rsidRPr="00DF16F9">
        <w:rPr>
          <w:rStyle w:val="FootnoteReference"/>
          <w:rFonts w:asciiTheme="majorHAnsi" w:hAnsiTheme="majorHAnsi" w:cstheme="majorHAnsi"/>
          <w:sz w:val="16"/>
        </w:rPr>
        <w:footnoteRef/>
      </w:r>
      <w:r w:rsidRPr="00DF16F9">
        <w:rPr>
          <w:rFonts w:asciiTheme="majorHAnsi" w:hAnsiTheme="majorHAnsi" w:cstheme="majorHAnsi"/>
          <w:sz w:val="16"/>
        </w:rPr>
        <w:t xml:space="preserve"> </w:t>
      </w:r>
      <w:r w:rsidR="00644DB2" w:rsidRPr="002408D1">
        <w:rPr>
          <w:rFonts w:asciiTheme="majorHAnsi" w:hAnsiTheme="majorHAnsi" w:cstheme="majorHAnsi"/>
          <w:sz w:val="16"/>
          <w:lang w:val="en-US"/>
        </w:rPr>
        <w:t>Decision on appointment of the</w:t>
      </w:r>
      <w:r w:rsidR="00644DB2" w:rsidRPr="002408D1">
        <w:rPr>
          <w:lang w:val="en-US"/>
        </w:rPr>
        <w:t xml:space="preserve"> </w:t>
      </w:r>
      <w:r w:rsidR="00644DB2" w:rsidRPr="002408D1">
        <w:rPr>
          <w:rFonts w:asciiTheme="majorHAnsi" w:hAnsiTheme="majorHAnsi" w:cstheme="majorHAnsi"/>
          <w:sz w:val="16"/>
          <w:lang w:val="en-US"/>
        </w:rPr>
        <w:t>State Commission for technical inspection of works on the</w:t>
      </w:r>
      <w:r w:rsidR="004B0FEF" w:rsidRPr="002408D1">
        <w:rPr>
          <w:rFonts w:asciiTheme="majorHAnsi" w:hAnsiTheme="majorHAnsi" w:cstheme="majorHAnsi"/>
          <w:sz w:val="16"/>
          <w:lang w:val="en-US"/>
        </w:rPr>
        <w:t xml:space="preserve"> construction </w:t>
      </w:r>
      <w:r w:rsidR="00644DB2" w:rsidRPr="002408D1">
        <w:rPr>
          <w:rFonts w:asciiTheme="majorHAnsi" w:hAnsiTheme="majorHAnsi" w:cstheme="majorHAnsi"/>
          <w:sz w:val="16"/>
          <w:lang w:val="en-US"/>
        </w:rPr>
        <w:t xml:space="preserve">of the Bar - </w:t>
      </w:r>
      <w:proofErr w:type="spellStart"/>
      <w:r w:rsidR="00644DB2" w:rsidRPr="002408D1">
        <w:rPr>
          <w:rFonts w:asciiTheme="majorHAnsi" w:hAnsiTheme="majorHAnsi" w:cstheme="majorHAnsi"/>
          <w:sz w:val="16"/>
          <w:lang w:val="en-US"/>
        </w:rPr>
        <w:t>Boljare</w:t>
      </w:r>
      <w:proofErr w:type="spellEnd"/>
      <w:r w:rsidR="00644DB2" w:rsidRPr="002408D1">
        <w:rPr>
          <w:rFonts w:asciiTheme="majorHAnsi" w:hAnsiTheme="majorHAnsi" w:cstheme="majorHAnsi"/>
          <w:sz w:val="16"/>
          <w:lang w:val="en-US"/>
        </w:rPr>
        <w:t xml:space="preserve"> Highway, priority section </w:t>
      </w:r>
      <w:proofErr w:type="spellStart"/>
      <w:r w:rsidR="00644DB2" w:rsidRPr="002408D1">
        <w:rPr>
          <w:rFonts w:asciiTheme="majorHAnsi" w:hAnsiTheme="majorHAnsi" w:cstheme="majorHAnsi"/>
          <w:sz w:val="16"/>
          <w:lang w:val="en-US"/>
        </w:rPr>
        <w:t>Smokovac</w:t>
      </w:r>
      <w:proofErr w:type="spellEnd"/>
      <w:r w:rsidR="00644DB2" w:rsidRPr="002408D1">
        <w:rPr>
          <w:rFonts w:asciiTheme="majorHAnsi" w:hAnsiTheme="majorHAnsi" w:cstheme="majorHAnsi"/>
          <w:sz w:val="16"/>
          <w:lang w:val="en-US"/>
        </w:rPr>
        <w:t xml:space="preserve"> - </w:t>
      </w:r>
      <w:proofErr w:type="spellStart"/>
      <w:r w:rsidR="00644DB2" w:rsidRPr="002408D1">
        <w:rPr>
          <w:rFonts w:asciiTheme="majorHAnsi" w:hAnsiTheme="majorHAnsi" w:cstheme="majorHAnsi"/>
          <w:sz w:val="16"/>
          <w:lang w:val="en-US"/>
        </w:rPr>
        <w:t>Uva</w:t>
      </w:r>
      <w:r w:rsidR="004B0FEF">
        <w:rPr>
          <w:rFonts w:asciiTheme="majorHAnsi" w:hAnsiTheme="majorHAnsi" w:cstheme="majorHAnsi"/>
          <w:sz w:val="16"/>
          <w:lang w:val="en-US"/>
        </w:rPr>
        <w:t>č</w:t>
      </w:r>
      <w:proofErr w:type="spellEnd"/>
      <w:r w:rsidR="00644DB2" w:rsidRPr="002408D1">
        <w:rPr>
          <w:rFonts w:asciiTheme="majorHAnsi" w:hAnsiTheme="majorHAnsi" w:cstheme="majorHAnsi"/>
          <w:sz w:val="16"/>
          <w:lang w:val="en-US"/>
        </w:rPr>
        <w:t xml:space="preserve"> - </w:t>
      </w:r>
      <w:proofErr w:type="spellStart"/>
      <w:r w:rsidR="00644DB2" w:rsidRPr="002408D1">
        <w:rPr>
          <w:rFonts w:asciiTheme="majorHAnsi" w:hAnsiTheme="majorHAnsi" w:cstheme="majorHAnsi"/>
          <w:sz w:val="16"/>
          <w:lang w:val="en-US"/>
        </w:rPr>
        <w:t>Mateševo</w:t>
      </w:r>
      <w:proofErr w:type="spellEnd"/>
      <w:r w:rsidR="00644DB2" w:rsidRPr="002408D1">
        <w:rPr>
          <w:rFonts w:asciiTheme="majorHAnsi" w:hAnsiTheme="majorHAnsi" w:cstheme="majorHAnsi"/>
          <w:sz w:val="16"/>
          <w:lang w:val="en-US"/>
        </w:rPr>
        <w:t xml:space="preserve"> (Official Gazette of Montenegro No. 30/15 and 44/17)</w:t>
      </w:r>
    </w:p>
  </w:footnote>
  <w:footnote w:id="2">
    <w:p w:rsidR="007C0648" w:rsidRPr="002408D1" w:rsidRDefault="007C0648" w:rsidP="004B0FEF">
      <w:pPr>
        <w:pStyle w:val="FootnoteText"/>
        <w:jc w:val="both"/>
        <w:rPr>
          <w:rFonts w:asciiTheme="majorHAnsi" w:hAnsiTheme="majorHAnsi" w:cstheme="majorHAnsi"/>
          <w:sz w:val="16"/>
          <w:lang w:val="en-US"/>
        </w:rPr>
      </w:pPr>
      <w:r w:rsidRPr="002408D1">
        <w:rPr>
          <w:rStyle w:val="FootnoteReference"/>
          <w:rFonts w:asciiTheme="majorHAnsi" w:hAnsiTheme="majorHAnsi" w:cstheme="majorHAnsi"/>
          <w:sz w:val="16"/>
          <w:lang w:val="en-US"/>
        </w:rPr>
        <w:footnoteRef/>
      </w:r>
      <w:r w:rsidRPr="002408D1">
        <w:rPr>
          <w:rFonts w:asciiTheme="majorHAnsi" w:hAnsiTheme="majorHAnsi" w:cstheme="majorHAnsi"/>
          <w:sz w:val="16"/>
          <w:lang w:val="en-US"/>
        </w:rPr>
        <w:t xml:space="preserve"> </w:t>
      </w:r>
      <w:r w:rsidR="00644DB2" w:rsidRPr="002408D1">
        <w:rPr>
          <w:rFonts w:asciiTheme="majorHAnsi" w:hAnsiTheme="majorHAnsi" w:cstheme="majorHAnsi"/>
          <w:sz w:val="16"/>
          <w:lang w:val="en-US"/>
        </w:rPr>
        <w:t xml:space="preserve">Article 7 of the Decision on appointment of the State Commission for technical inspection of works on the </w:t>
      </w:r>
      <w:r w:rsidR="004B0FEF" w:rsidRPr="002408D1">
        <w:rPr>
          <w:rFonts w:asciiTheme="majorHAnsi" w:hAnsiTheme="majorHAnsi" w:cstheme="majorHAnsi"/>
          <w:sz w:val="16"/>
          <w:lang w:val="en-US"/>
        </w:rPr>
        <w:t>cons</w:t>
      </w:r>
      <w:r w:rsidR="00644DB2" w:rsidRPr="002408D1">
        <w:rPr>
          <w:rFonts w:asciiTheme="majorHAnsi" w:hAnsiTheme="majorHAnsi" w:cstheme="majorHAnsi"/>
          <w:sz w:val="16"/>
          <w:lang w:val="en-US"/>
        </w:rPr>
        <w:t xml:space="preserve">truction of the Bar - </w:t>
      </w:r>
      <w:proofErr w:type="spellStart"/>
      <w:r w:rsidR="00644DB2" w:rsidRPr="002408D1">
        <w:rPr>
          <w:rFonts w:asciiTheme="majorHAnsi" w:hAnsiTheme="majorHAnsi" w:cstheme="majorHAnsi"/>
          <w:sz w:val="16"/>
          <w:lang w:val="en-US"/>
        </w:rPr>
        <w:t>Boljare</w:t>
      </w:r>
      <w:proofErr w:type="spellEnd"/>
      <w:r w:rsidR="00644DB2" w:rsidRPr="002408D1">
        <w:rPr>
          <w:rFonts w:asciiTheme="majorHAnsi" w:hAnsiTheme="majorHAnsi" w:cstheme="majorHAnsi"/>
          <w:sz w:val="16"/>
          <w:lang w:val="en-US"/>
        </w:rPr>
        <w:t xml:space="preserve"> Highway, priority section </w:t>
      </w:r>
      <w:proofErr w:type="spellStart"/>
      <w:r w:rsidR="00644DB2" w:rsidRPr="002408D1">
        <w:rPr>
          <w:rFonts w:asciiTheme="majorHAnsi" w:hAnsiTheme="majorHAnsi" w:cstheme="majorHAnsi"/>
          <w:sz w:val="16"/>
          <w:lang w:val="en-US"/>
        </w:rPr>
        <w:t>Smokovac</w:t>
      </w:r>
      <w:proofErr w:type="spellEnd"/>
      <w:r w:rsidR="00644DB2" w:rsidRPr="002408D1">
        <w:rPr>
          <w:rFonts w:asciiTheme="majorHAnsi" w:hAnsiTheme="majorHAnsi" w:cstheme="majorHAnsi"/>
          <w:sz w:val="16"/>
          <w:lang w:val="en-US"/>
        </w:rPr>
        <w:t xml:space="preserve"> - </w:t>
      </w:r>
      <w:proofErr w:type="spellStart"/>
      <w:r w:rsidR="00644DB2" w:rsidRPr="002408D1">
        <w:rPr>
          <w:rFonts w:asciiTheme="majorHAnsi" w:hAnsiTheme="majorHAnsi" w:cstheme="majorHAnsi"/>
          <w:sz w:val="16"/>
          <w:lang w:val="en-US"/>
        </w:rPr>
        <w:t>Uva</w:t>
      </w:r>
      <w:r w:rsidR="004B0FEF">
        <w:rPr>
          <w:rFonts w:asciiTheme="majorHAnsi" w:hAnsiTheme="majorHAnsi" w:cstheme="majorHAnsi"/>
          <w:sz w:val="16"/>
          <w:lang w:val="en-US"/>
        </w:rPr>
        <w:t>č</w:t>
      </w:r>
      <w:proofErr w:type="spellEnd"/>
      <w:r w:rsidR="00644DB2" w:rsidRPr="002408D1">
        <w:rPr>
          <w:rFonts w:asciiTheme="majorHAnsi" w:hAnsiTheme="majorHAnsi" w:cstheme="majorHAnsi"/>
          <w:sz w:val="16"/>
          <w:lang w:val="en-US"/>
        </w:rPr>
        <w:t xml:space="preserve"> - </w:t>
      </w:r>
      <w:proofErr w:type="spellStart"/>
      <w:r w:rsidR="00644DB2" w:rsidRPr="002408D1">
        <w:rPr>
          <w:rFonts w:asciiTheme="majorHAnsi" w:hAnsiTheme="majorHAnsi" w:cstheme="majorHAnsi"/>
          <w:sz w:val="16"/>
          <w:lang w:val="en-US"/>
        </w:rPr>
        <w:t>Mateševo</w:t>
      </w:r>
      <w:proofErr w:type="spellEnd"/>
      <w:r w:rsidR="00644DB2" w:rsidRPr="002408D1">
        <w:rPr>
          <w:rFonts w:asciiTheme="majorHAnsi" w:hAnsiTheme="majorHAnsi" w:cstheme="majorHAnsi"/>
          <w:sz w:val="16"/>
          <w:lang w:val="en-US"/>
        </w:rPr>
        <w:t xml:space="preserve"> (Official Gazette of Montenegro No. 30/15 and 44/17)</w:t>
      </w:r>
    </w:p>
  </w:footnote>
  <w:footnote w:id="3">
    <w:p w:rsidR="004746D1" w:rsidRPr="002408D1" w:rsidRDefault="004746D1" w:rsidP="004B0FEF">
      <w:pPr>
        <w:pStyle w:val="FootnoteText"/>
        <w:jc w:val="both"/>
        <w:rPr>
          <w:rFonts w:asciiTheme="majorHAnsi" w:hAnsiTheme="majorHAnsi" w:cstheme="majorHAnsi"/>
          <w:sz w:val="16"/>
          <w:szCs w:val="16"/>
          <w:lang w:val="en-US"/>
        </w:rPr>
      </w:pPr>
      <w:r w:rsidRPr="002408D1">
        <w:rPr>
          <w:rStyle w:val="FootnoteReference"/>
          <w:rFonts w:asciiTheme="majorHAnsi" w:hAnsiTheme="majorHAnsi" w:cstheme="majorHAnsi"/>
          <w:sz w:val="16"/>
          <w:lang w:val="en-US"/>
        </w:rPr>
        <w:footnoteRef/>
      </w:r>
      <w:r w:rsidRPr="002408D1">
        <w:rPr>
          <w:rFonts w:asciiTheme="majorHAnsi" w:hAnsiTheme="majorHAnsi" w:cstheme="majorHAnsi"/>
          <w:sz w:val="16"/>
          <w:lang w:val="en-US"/>
        </w:rPr>
        <w:t xml:space="preserve"> </w:t>
      </w:r>
      <w:r w:rsidR="00644DB2" w:rsidRPr="002408D1">
        <w:rPr>
          <w:rFonts w:asciiTheme="majorHAnsi" w:hAnsiTheme="majorHAnsi" w:cstheme="majorHAnsi"/>
          <w:sz w:val="16"/>
          <w:szCs w:val="16"/>
          <w:lang w:val="en-US"/>
        </w:rPr>
        <w:t>Requests for free access to information by NGO MANS no. 125151 and 125280 of 31 October 2018</w:t>
      </w:r>
    </w:p>
  </w:footnote>
  <w:footnote w:id="4">
    <w:p w:rsidR="004746D1" w:rsidRPr="002408D1" w:rsidRDefault="004746D1" w:rsidP="004B0FEF">
      <w:pPr>
        <w:pStyle w:val="FootnoteText"/>
        <w:jc w:val="both"/>
        <w:rPr>
          <w:lang w:val="en-US"/>
        </w:rPr>
      </w:pPr>
      <w:r w:rsidRPr="002408D1">
        <w:rPr>
          <w:rStyle w:val="FootnoteReference"/>
          <w:rFonts w:asciiTheme="majorHAnsi" w:hAnsiTheme="majorHAnsi" w:cstheme="majorHAnsi"/>
          <w:sz w:val="16"/>
          <w:szCs w:val="16"/>
          <w:lang w:val="en-US"/>
        </w:rPr>
        <w:footnoteRef/>
      </w:r>
      <w:r w:rsidRPr="002408D1">
        <w:rPr>
          <w:rFonts w:asciiTheme="majorHAnsi" w:hAnsiTheme="majorHAnsi" w:cstheme="majorHAnsi"/>
          <w:sz w:val="16"/>
          <w:szCs w:val="16"/>
          <w:lang w:val="en-US"/>
        </w:rPr>
        <w:t xml:space="preserve"> </w:t>
      </w:r>
      <w:r w:rsidR="002408D1" w:rsidRPr="002408D1">
        <w:rPr>
          <w:rFonts w:asciiTheme="majorHAnsi" w:hAnsiTheme="majorHAnsi" w:cstheme="majorHAnsi"/>
          <w:sz w:val="16"/>
          <w:szCs w:val="16"/>
          <w:lang w:val="en-US"/>
        </w:rPr>
        <w:t xml:space="preserve">Decision of the Ministry of Sustainable Development and Tourism no. UPI 117 / 5-121 / 2 </w:t>
      </w:r>
      <w:r w:rsidR="004B0FEF">
        <w:rPr>
          <w:rFonts w:asciiTheme="majorHAnsi" w:hAnsiTheme="majorHAnsi" w:cstheme="majorHAnsi"/>
          <w:sz w:val="16"/>
          <w:szCs w:val="16"/>
          <w:lang w:val="en-US"/>
        </w:rPr>
        <w:t xml:space="preserve">of </w:t>
      </w:r>
      <w:r w:rsidR="002408D1" w:rsidRPr="002408D1">
        <w:rPr>
          <w:rFonts w:asciiTheme="majorHAnsi" w:hAnsiTheme="majorHAnsi" w:cstheme="majorHAnsi"/>
          <w:sz w:val="16"/>
          <w:szCs w:val="16"/>
          <w:lang w:val="en-US"/>
        </w:rPr>
        <w:t>7 November 2018</w:t>
      </w:r>
    </w:p>
  </w:footnote>
  <w:footnote w:id="5">
    <w:p w:rsidR="008C4D1E" w:rsidRPr="00DF16F9" w:rsidRDefault="008C4D1E" w:rsidP="004B0FEF">
      <w:pPr>
        <w:pStyle w:val="FootnoteText"/>
        <w:jc w:val="both"/>
        <w:rPr>
          <w:rFonts w:asciiTheme="majorHAnsi" w:hAnsiTheme="majorHAnsi" w:cstheme="majorHAnsi"/>
          <w:sz w:val="16"/>
        </w:rPr>
      </w:pPr>
      <w:r w:rsidRPr="002408D1">
        <w:rPr>
          <w:rStyle w:val="FootnoteReference"/>
          <w:rFonts w:asciiTheme="majorHAnsi" w:hAnsiTheme="majorHAnsi" w:cstheme="majorHAnsi"/>
          <w:sz w:val="16"/>
          <w:lang w:val="en-US"/>
        </w:rPr>
        <w:footnoteRef/>
      </w:r>
      <w:r w:rsidRPr="002408D1">
        <w:rPr>
          <w:rFonts w:asciiTheme="majorHAnsi" w:hAnsiTheme="majorHAnsi" w:cstheme="majorHAnsi"/>
          <w:sz w:val="16"/>
          <w:lang w:val="en-US"/>
        </w:rPr>
        <w:t xml:space="preserve"> </w:t>
      </w:r>
      <w:r w:rsidR="002408D1" w:rsidRPr="002408D1">
        <w:rPr>
          <w:rFonts w:asciiTheme="majorHAnsi" w:hAnsiTheme="majorHAnsi" w:cstheme="majorHAnsi"/>
          <w:sz w:val="16"/>
          <w:lang w:val="en-US"/>
        </w:rPr>
        <w:t>Request for free access to information NGO MANS no. 125158 of 31 October 2018</w:t>
      </w:r>
    </w:p>
  </w:footnote>
  <w:footnote w:id="6">
    <w:p w:rsidR="007B3FD2" w:rsidRPr="00666E5E" w:rsidRDefault="007B3FD2" w:rsidP="00666E5E">
      <w:pPr>
        <w:pStyle w:val="FootnoteText"/>
        <w:jc w:val="both"/>
        <w:rPr>
          <w:lang w:val="en-GB"/>
        </w:rPr>
      </w:pPr>
      <w:r w:rsidRPr="00DF16F9">
        <w:rPr>
          <w:rStyle w:val="FootnoteReference"/>
          <w:rFonts w:asciiTheme="majorHAnsi" w:hAnsiTheme="majorHAnsi" w:cstheme="majorHAnsi"/>
          <w:sz w:val="16"/>
        </w:rPr>
        <w:footnoteRef/>
      </w:r>
      <w:r w:rsidRPr="00DF16F9">
        <w:rPr>
          <w:rFonts w:asciiTheme="majorHAnsi" w:hAnsiTheme="majorHAnsi" w:cstheme="majorHAnsi"/>
          <w:sz w:val="16"/>
        </w:rPr>
        <w:t xml:space="preserve"> </w:t>
      </w:r>
      <w:r w:rsidR="00CA64CF" w:rsidRPr="00666E5E">
        <w:rPr>
          <w:rFonts w:asciiTheme="majorHAnsi" w:hAnsiTheme="majorHAnsi" w:cstheme="majorHAnsi"/>
          <w:sz w:val="16"/>
          <w:lang w:val="en-GB"/>
        </w:rPr>
        <w:t xml:space="preserve">Decision of the Business Unit for project management of the construction of the Bar - </w:t>
      </w:r>
      <w:proofErr w:type="spellStart"/>
      <w:r w:rsidR="00CA64CF" w:rsidRPr="00666E5E">
        <w:rPr>
          <w:rFonts w:asciiTheme="majorHAnsi" w:hAnsiTheme="majorHAnsi" w:cstheme="majorHAnsi"/>
          <w:sz w:val="16"/>
          <w:lang w:val="en-GB"/>
        </w:rPr>
        <w:t>Boljare</w:t>
      </w:r>
      <w:proofErr w:type="spellEnd"/>
      <w:r w:rsidR="00CA64CF" w:rsidRPr="00666E5E">
        <w:rPr>
          <w:rFonts w:asciiTheme="majorHAnsi" w:hAnsiTheme="majorHAnsi" w:cstheme="majorHAnsi"/>
          <w:sz w:val="16"/>
          <w:lang w:val="en-GB"/>
        </w:rPr>
        <w:t xml:space="preserve"> highway no. 14843 of 3 December 2018</w:t>
      </w:r>
    </w:p>
  </w:footnote>
  <w:footnote w:id="7">
    <w:p w:rsidR="00236103" w:rsidRPr="00666E5E" w:rsidRDefault="00236103" w:rsidP="00666E5E">
      <w:pPr>
        <w:pStyle w:val="FootnoteText"/>
        <w:jc w:val="both"/>
        <w:rPr>
          <w:rFonts w:asciiTheme="majorHAnsi" w:hAnsiTheme="majorHAnsi" w:cstheme="majorHAnsi"/>
          <w:sz w:val="16"/>
          <w:szCs w:val="16"/>
          <w:lang w:val="en-GB"/>
        </w:rPr>
      </w:pPr>
      <w:r w:rsidRPr="00666E5E">
        <w:rPr>
          <w:rStyle w:val="FootnoteReference"/>
          <w:rFonts w:asciiTheme="majorHAnsi" w:hAnsiTheme="majorHAnsi" w:cstheme="majorHAnsi"/>
          <w:sz w:val="16"/>
          <w:lang w:val="en-GB"/>
        </w:rPr>
        <w:footnoteRef/>
      </w:r>
      <w:r w:rsidRPr="00666E5E">
        <w:rPr>
          <w:rFonts w:asciiTheme="majorHAnsi" w:hAnsiTheme="majorHAnsi" w:cstheme="majorHAnsi"/>
          <w:sz w:val="16"/>
          <w:lang w:val="en-GB"/>
        </w:rPr>
        <w:t xml:space="preserve"> </w:t>
      </w:r>
      <w:r w:rsidR="007651E7" w:rsidRPr="00666E5E">
        <w:rPr>
          <w:rFonts w:asciiTheme="majorHAnsi" w:hAnsiTheme="majorHAnsi" w:cstheme="majorHAnsi"/>
          <w:sz w:val="16"/>
          <w:szCs w:val="16"/>
          <w:lang w:val="en-GB"/>
        </w:rPr>
        <w:t>Report of the Commission for techn</w:t>
      </w:r>
      <w:r w:rsidR="00D27CCB" w:rsidRPr="00666E5E">
        <w:rPr>
          <w:rFonts w:asciiTheme="majorHAnsi" w:hAnsiTheme="majorHAnsi" w:cstheme="majorHAnsi"/>
          <w:sz w:val="16"/>
          <w:szCs w:val="16"/>
          <w:lang w:val="en-GB"/>
        </w:rPr>
        <w:t>ical inspection of works no. 03-334/</w:t>
      </w:r>
      <w:r w:rsidR="007651E7" w:rsidRPr="00666E5E">
        <w:rPr>
          <w:rFonts w:asciiTheme="majorHAnsi" w:hAnsiTheme="majorHAnsi" w:cstheme="majorHAnsi"/>
          <w:sz w:val="16"/>
          <w:szCs w:val="16"/>
          <w:lang w:val="en-GB"/>
        </w:rPr>
        <w:t xml:space="preserve">18 </w:t>
      </w:r>
      <w:r w:rsidR="00D27CCB" w:rsidRPr="00666E5E">
        <w:rPr>
          <w:rFonts w:asciiTheme="majorHAnsi" w:hAnsiTheme="majorHAnsi" w:cstheme="majorHAnsi"/>
          <w:sz w:val="16"/>
          <w:szCs w:val="16"/>
          <w:lang w:val="en-GB"/>
        </w:rPr>
        <w:t>of</w:t>
      </w:r>
      <w:r w:rsidR="007651E7" w:rsidRPr="00666E5E">
        <w:rPr>
          <w:rFonts w:asciiTheme="majorHAnsi" w:hAnsiTheme="majorHAnsi" w:cstheme="majorHAnsi"/>
          <w:sz w:val="16"/>
          <w:szCs w:val="16"/>
          <w:lang w:val="en-GB"/>
        </w:rPr>
        <w:t xml:space="preserve"> 3 May 2018, Reports of the State Commission for Technical Inspection of Works no. </w:t>
      </w:r>
      <w:r w:rsidR="00D27CCB" w:rsidRPr="00666E5E">
        <w:rPr>
          <w:rFonts w:asciiTheme="majorHAnsi" w:hAnsiTheme="majorHAnsi" w:cstheme="majorHAnsi"/>
          <w:sz w:val="16"/>
          <w:szCs w:val="16"/>
          <w:lang w:val="en-GB"/>
        </w:rPr>
        <w:t>03-93 /</w:t>
      </w:r>
      <w:r w:rsidR="007651E7" w:rsidRPr="00666E5E">
        <w:rPr>
          <w:rFonts w:asciiTheme="majorHAnsi" w:hAnsiTheme="majorHAnsi" w:cstheme="majorHAnsi"/>
          <w:sz w:val="16"/>
          <w:szCs w:val="16"/>
          <w:lang w:val="en-GB"/>
        </w:rPr>
        <w:t xml:space="preserve">18 </w:t>
      </w:r>
      <w:r w:rsidR="00D27CCB" w:rsidRPr="00666E5E">
        <w:rPr>
          <w:rFonts w:asciiTheme="majorHAnsi" w:hAnsiTheme="majorHAnsi" w:cstheme="majorHAnsi"/>
          <w:sz w:val="16"/>
          <w:szCs w:val="16"/>
          <w:lang w:val="en-GB"/>
        </w:rPr>
        <w:t xml:space="preserve">of </w:t>
      </w:r>
      <w:r w:rsidR="007651E7" w:rsidRPr="00666E5E">
        <w:rPr>
          <w:rFonts w:asciiTheme="majorHAnsi" w:hAnsiTheme="majorHAnsi" w:cstheme="majorHAnsi"/>
          <w:sz w:val="16"/>
          <w:szCs w:val="16"/>
          <w:lang w:val="en-GB"/>
        </w:rPr>
        <w:t xml:space="preserve">4 September 2018 (from the visit </w:t>
      </w:r>
      <w:r w:rsidR="00D27CCB" w:rsidRPr="00666E5E">
        <w:rPr>
          <w:rFonts w:asciiTheme="majorHAnsi" w:hAnsiTheme="majorHAnsi" w:cstheme="majorHAnsi"/>
          <w:sz w:val="16"/>
          <w:szCs w:val="16"/>
          <w:lang w:val="en-GB"/>
        </w:rPr>
        <w:t>on</w:t>
      </w:r>
      <w:r w:rsidR="007651E7" w:rsidRPr="00666E5E">
        <w:rPr>
          <w:rFonts w:asciiTheme="majorHAnsi" w:hAnsiTheme="majorHAnsi" w:cstheme="majorHAnsi"/>
          <w:sz w:val="16"/>
          <w:szCs w:val="16"/>
          <w:lang w:val="en-GB"/>
        </w:rPr>
        <w:t xml:space="preserve"> 7 August 2018), report of the </w:t>
      </w:r>
      <w:r w:rsidR="00D27CCB" w:rsidRPr="00666E5E">
        <w:rPr>
          <w:rFonts w:asciiTheme="majorHAnsi" w:hAnsiTheme="majorHAnsi" w:cstheme="majorHAnsi"/>
          <w:sz w:val="16"/>
          <w:szCs w:val="16"/>
          <w:lang w:val="en-GB"/>
        </w:rPr>
        <w:t>Commission for technical inspection of works</w:t>
      </w:r>
      <w:r w:rsidR="007651E7" w:rsidRPr="00666E5E">
        <w:rPr>
          <w:rFonts w:asciiTheme="majorHAnsi" w:hAnsiTheme="majorHAnsi" w:cstheme="majorHAnsi"/>
          <w:sz w:val="16"/>
          <w:szCs w:val="16"/>
          <w:lang w:val="en-GB"/>
        </w:rPr>
        <w:t xml:space="preserve"> no. 03-137</w:t>
      </w:r>
      <w:r w:rsidR="00D27CCB" w:rsidRPr="00666E5E">
        <w:rPr>
          <w:rFonts w:asciiTheme="majorHAnsi" w:hAnsiTheme="majorHAnsi" w:cstheme="majorHAnsi"/>
          <w:sz w:val="16"/>
          <w:szCs w:val="16"/>
          <w:lang w:val="en-GB"/>
        </w:rPr>
        <w:t>0/</w:t>
      </w:r>
      <w:r w:rsidR="007651E7" w:rsidRPr="00666E5E">
        <w:rPr>
          <w:rFonts w:asciiTheme="majorHAnsi" w:hAnsiTheme="majorHAnsi" w:cstheme="majorHAnsi"/>
          <w:sz w:val="16"/>
          <w:szCs w:val="16"/>
          <w:lang w:val="en-GB"/>
        </w:rPr>
        <w:t xml:space="preserve">18 </w:t>
      </w:r>
      <w:r w:rsidR="00D27CCB" w:rsidRPr="00666E5E">
        <w:rPr>
          <w:rFonts w:asciiTheme="majorHAnsi" w:hAnsiTheme="majorHAnsi" w:cstheme="majorHAnsi"/>
          <w:sz w:val="16"/>
          <w:szCs w:val="16"/>
          <w:lang w:val="en-GB"/>
        </w:rPr>
        <w:t>of</w:t>
      </w:r>
      <w:r w:rsidR="007651E7" w:rsidRPr="00666E5E">
        <w:rPr>
          <w:rFonts w:asciiTheme="majorHAnsi" w:hAnsiTheme="majorHAnsi" w:cstheme="majorHAnsi"/>
          <w:sz w:val="16"/>
          <w:szCs w:val="16"/>
          <w:lang w:val="en-GB"/>
        </w:rPr>
        <w:t xml:space="preserve">16 November 2018 (from the </w:t>
      </w:r>
      <w:r w:rsidR="00D27CCB" w:rsidRPr="00666E5E">
        <w:rPr>
          <w:rFonts w:asciiTheme="majorHAnsi" w:hAnsiTheme="majorHAnsi" w:cstheme="majorHAnsi"/>
          <w:sz w:val="16"/>
          <w:szCs w:val="16"/>
          <w:lang w:val="en-GB"/>
        </w:rPr>
        <w:t>visit on</w:t>
      </w:r>
      <w:r w:rsidR="007651E7" w:rsidRPr="00666E5E">
        <w:rPr>
          <w:rFonts w:asciiTheme="majorHAnsi" w:hAnsiTheme="majorHAnsi" w:cstheme="majorHAnsi"/>
          <w:sz w:val="16"/>
          <w:szCs w:val="16"/>
          <w:lang w:val="en-GB"/>
        </w:rPr>
        <w:t xml:space="preserve"> 9 November 2018)</w:t>
      </w:r>
    </w:p>
  </w:footnote>
  <w:footnote w:id="8">
    <w:p w:rsidR="00AD1998" w:rsidRPr="00666E5E" w:rsidRDefault="00AD1998" w:rsidP="00666E5E">
      <w:pPr>
        <w:pStyle w:val="FootnoteText"/>
        <w:jc w:val="both"/>
        <w:rPr>
          <w:rFonts w:asciiTheme="majorHAnsi" w:hAnsiTheme="majorHAnsi" w:cstheme="majorHAnsi"/>
          <w:sz w:val="16"/>
          <w:lang w:val="en-GB"/>
        </w:rPr>
      </w:pPr>
      <w:r w:rsidRPr="00666E5E">
        <w:rPr>
          <w:rStyle w:val="FootnoteReference"/>
          <w:rFonts w:asciiTheme="majorHAnsi" w:hAnsiTheme="majorHAnsi" w:cstheme="majorHAnsi"/>
          <w:sz w:val="16"/>
          <w:lang w:val="en-GB"/>
        </w:rPr>
        <w:footnoteRef/>
      </w:r>
      <w:r w:rsidRPr="00666E5E">
        <w:rPr>
          <w:rFonts w:asciiTheme="majorHAnsi" w:hAnsiTheme="majorHAnsi" w:cstheme="majorHAnsi"/>
          <w:sz w:val="16"/>
          <w:lang w:val="en-GB"/>
        </w:rPr>
        <w:t xml:space="preserve"> </w:t>
      </w:r>
      <w:r w:rsidR="00D86627" w:rsidRPr="00666E5E">
        <w:rPr>
          <w:rFonts w:asciiTheme="majorHAnsi" w:hAnsiTheme="majorHAnsi" w:cstheme="majorHAnsi"/>
          <w:sz w:val="16"/>
          <w:lang w:val="en-GB"/>
        </w:rPr>
        <w:t>Report of the Commission for technical inspection of works no. 03-1163/18 of 8 October 2018 (refers to the visit on 29 September 2018)</w:t>
      </w:r>
    </w:p>
  </w:footnote>
  <w:footnote w:id="9">
    <w:p w:rsidR="00AD1998" w:rsidRPr="00666E5E" w:rsidRDefault="00AD1998" w:rsidP="00666E5E">
      <w:pPr>
        <w:pStyle w:val="FootnoteText"/>
        <w:jc w:val="both"/>
        <w:rPr>
          <w:lang w:val="en-GB"/>
        </w:rPr>
      </w:pPr>
      <w:r w:rsidRPr="00666E5E">
        <w:rPr>
          <w:rStyle w:val="FootnoteReference"/>
          <w:rFonts w:asciiTheme="majorHAnsi" w:hAnsiTheme="majorHAnsi" w:cstheme="majorHAnsi"/>
          <w:sz w:val="16"/>
          <w:lang w:val="en-GB"/>
        </w:rPr>
        <w:footnoteRef/>
      </w:r>
      <w:r w:rsidRPr="00666E5E">
        <w:rPr>
          <w:rFonts w:asciiTheme="majorHAnsi" w:hAnsiTheme="majorHAnsi" w:cstheme="majorHAnsi"/>
          <w:sz w:val="16"/>
          <w:lang w:val="en-GB"/>
        </w:rPr>
        <w:t xml:space="preserve"> </w:t>
      </w:r>
      <w:r w:rsidR="00D86627" w:rsidRPr="00666E5E">
        <w:rPr>
          <w:rFonts w:asciiTheme="majorHAnsi" w:hAnsiTheme="majorHAnsi" w:cstheme="majorHAnsi"/>
          <w:sz w:val="16"/>
          <w:lang w:val="en-GB"/>
        </w:rPr>
        <w:t>See more at</w:t>
      </w:r>
      <w:r w:rsidRPr="00666E5E">
        <w:rPr>
          <w:rFonts w:asciiTheme="majorHAnsi" w:hAnsiTheme="majorHAnsi" w:cstheme="majorHAnsi"/>
          <w:sz w:val="16"/>
          <w:lang w:val="en-GB"/>
        </w:rPr>
        <w:t xml:space="preserve">: </w:t>
      </w:r>
      <w:r w:rsidR="0081183B" w:rsidRPr="00666E5E">
        <w:rPr>
          <w:rStyle w:val="Hyperlink"/>
          <w:rFonts w:asciiTheme="majorHAnsi" w:hAnsiTheme="majorHAnsi" w:cstheme="majorHAnsi"/>
          <w:sz w:val="16"/>
          <w:lang w:val="en-GB"/>
        </w:rPr>
        <w:t>http://www.mans.co.me/en/crbc-installs-concrete-into-the-bridges-on-the-highway-without-quality-assessment/</w:t>
      </w:r>
    </w:p>
  </w:footnote>
  <w:footnote w:id="10">
    <w:p w:rsidR="002D266B" w:rsidRPr="00666E5E" w:rsidRDefault="00D44A04" w:rsidP="00666E5E">
      <w:pPr>
        <w:pStyle w:val="FootnoteText"/>
        <w:jc w:val="both"/>
        <w:rPr>
          <w:rFonts w:asciiTheme="majorHAnsi" w:hAnsiTheme="majorHAnsi" w:cstheme="majorHAnsi"/>
          <w:sz w:val="16"/>
          <w:lang w:val="en-GB"/>
        </w:rPr>
      </w:pPr>
      <w:r w:rsidRPr="00D44A04">
        <w:rPr>
          <w:rStyle w:val="FootnoteReference"/>
          <w:rFonts w:asciiTheme="majorHAnsi" w:hAnsiTheme="majorHAnsi" w:cstheme="majorHAnsi"/>
          <w:sz w:val="16"/>
        </w:rPr>
        <w:footnoteRef/>
      </w:r>
      <w:r w:rsidRPr="00D44A04">
        <w:rPr>
          <w:rFonts w:asciiTheme="majorHAnsi" w:hAnsiTheme="majorHAnsi" w:cstheme="majorHAnsi"/>
          <w:sz w:val="16"/>
        </w:rPr>
        <w:t xml:space="preserve"> </w:t>
      </w:r>
      <w:r w:rsidR="002D266B" w:rsidRPr="00666E5E">
        <w:rPr>
          <w:rFonts w:asciiTheme="majorHAnsi" w:hAnsiTheme="majorHAnsi" w:cstheme="majorHAnsi"/>
          <w:sz w:val="16"/>
          <w:lang w:val="en-GB"/>
        </w:rPr>
        <w:t>Rulebook on technical requirements for concrete structures (Official Gazette of Montenegro No. 020/18 of March 30, 2018)</w:t>
      </w:r>
    </w:p>
  </w:footnote>
  <w:footnote w:id="11">
    <w:p w:rsidR="002D266B" w:rsidRPr="00666E5E" w:rsidRDefault="002D266B" w:rsidP="00666E5E">
      <w:pPr>
        <w:pStyle w:val="FootnoteText"/>
        <w:jc w:val="both"/>
        <w:rPr>
          <w:rFonts w:asciiTheme="majorHAnsi" w:hAnsiTheme="majorHAnsi" w:cstheme="majorHAnsi"/>
          <w:sz w:val="16"/>
          <w:szCs w:val="16"/>
          <w:lang w:val="en-GB"/>
        </w:rPr>
      </w:pPr>
      <w:r w:rsidRPr="00666E5E">
        <w:rPr>
          <w:rStyle w:val="FootnoteReference"/>
          <w:rFonts w:asciiTheme="majorHAnsi" w:hAnsiTheme="majorHAnsi" w:cstheme="majorHAnsi"/>
          <w:sz w:val="16"/>
          <w:lang w:val="en-GB"/>
        </w:rPr>
        <w:footnoteRef/>
      </w:r>
      <w:r w:rsidRPr="00666E5E">
        <w:rPr>
          <w:rFonts w:asciiTheme="majorHAnsi" w:hAnsiTheme="majorHAnsi" w:cstheme="majorHAnsi"/>
          <w:sz w:val="16"/>
          <w:lang w:val="en-GB"/>
        </w:rPr>
        <w:t xml:space="preserve"> </w:t>
      </w:r>
      <w:r w:rsidR="00674A5E" w:rsidRPr="00666E5E">
        <w:rPr>
          <w:rFonts w:asciiTheme="majorHAnsi" w:hAnsiTheme="majorHAnsi" w:cstheme="majorHAnsi"/>
          <w:sz w:val="16"/>
          <w:szCs w:val="16"/>
          <w:lang w:val="en-GB"/>
        </w:rPr>
        <w:t>Article 10, paragraph 2 of the Decision on appointment of the State Commission for technical inspection of works on the construction of the highway Bar-</w:t>
      </w:r>
      <w:proofErr w:type="spellStart"/>
      <w:r w:rsidR="00674A5E" w:rsidRPr="00666E5E">
        <w:rPr>
          <w:rFonts w:asciiTheme="majorHAnsi" w:hAnsiTheme="majorHAnsi" w:cstheme="majorHAnsi"/>
          <w:sz w:val="16"/>
          <w:szCs w:val="16"/>
          <w:lang w:val="en-GB"/>
        </w:rPr>
        <w:t>Boljare</w:t>
      </w:r>
      <w:proofErr w:type="spellEnd"/>
      <w:r w:rsidR="00674A5E" w:rsidRPr="00666E5E">
        <w:rPr>
          <w:rFonts w:asciiTheme="majorHAnsi" w:hAnsiTheme="majorHAnsi" w:cstheme="majorHAnsi"/>
          <w:sz w:val="16"/>
          <w:szCs w:val="16"/>
          <w:lang w:val="en-GB"/>
        </w:rPr>
        <w:t xml:space="preserve">, priority section </w:t>
      </w:r>
      <w:proofErr w:type="spellStart"/>
      <w:r w:rsidR="00674A5E" w:rsidRPr="00666E5E">
        <w:rPr>
          <w:rFonts w:asciiTheme="majorHAnsi" w:hAnsiTheme="majorHAnsi" w:cstheme="majorHAnsi"/>
          <w:sz w:val="16"/>
          <w:szCs w:val="16"/>
          <w:lang w:val="en-GB"/>
        </w:rPr>
        <w:t>Smokovac-Uvač-Mateševo</w:t>
      </w:r>
      <w:proofErr w:type="spellEnd"/>
      <w:r w:rsidR="00674A5E" w:rsidRPr="00666E5E">
        <w:rPr>
          <w:rFonts w:asciiTheme="majorHAnsi" w:hAnsiTheme="majorHAnsi" w:cstheme="majorHAnsi"/>
          <w:sz w:val="16"/>
          <w:szCs w:val="16"/>
          <w:lang w:val="en-GB"/>
        </w:rPr>
        <w:t xml:space="preserve"> (Official Gazette of Montenegro No. 30/15 and 44/17)</w:t>
      </w:r>
    </w:p>
  </w:footnote>
  <w:footnote w:id="12">
    <w:p w:rsidR="00236103" w:rsidRDefault="00236103" w:rsidP="00666E5E">
      <w:pPr>
        <w:pStyle w:val="FootnoteText"/>
        <w:jc w:val="both"/>
      </w:pPr>
      <w:r w:rsidRPr="00666E5E">
        <w:rPr>
          <w:rStyle w:val="FootnoteReference"/>
          <w:rFonts w:asciiTheme="majorHAnsi" w:hAnsiTheme="majorHAnsi" w:cstheme="majorHAnsi"/>
          <w:sz w:val="16"/>
          <w:szCs w:val="16"/>
          <w:lang w:val="en-GB"/>
        </w:rPr>
        <w:footnoteRef/>
      </w:r>
      <w:r w:rsidRPr="00666E5E">
        <w:rPr>
          <w:rFonts w:asciiTheme="majorHAnsi" w:hAnsiTheme="majorHAnsi" w:cstheme="majorHAnsi"/>
          <w:sz w:val="16"/>
          <w:szCs w:val="16"/>
          <w:lang w:val="en-GB"/>
        </w:rPr>
        <w:t xml:space="preserve"> </w:t>
      </w:r>
      <w:r w:rsidR="00674A5E" w:rsidRPr="00666E5E">
        <w:rPr>
          <w:rFonts w:asciiTheme="majorHAnsi" w:hAnsiTheme="majorHAnsi" w:cstheme="majorHAnsi"/>
          <w:sz w:val="16"/>
          <w:szCs w:val="16"/>
          <w:lang w:val="en-GB"/>
        </w:rPr>
        <w:t xml:space="preserve">Conclusion of the Government of Montenegro on the adoption of the Decision on amendments to the </w:t>
      </w:r>
      <w:r w:rsidR="006F56C2" w:rsidRPr="00666E5E">
        <w:rPr>
          <w:rFonts w:asciiTheme="majorHAnsi" w:hAnsiTheme="majorHAnsi" w:cstheme="majorHAnsi"/>
          <w:sz w:val="16"/>
          <w:szCs w:val="16"/>
          <w:lang w:val="en-GB"/>
        </w:rPr>
        <w:t>De</w:t>
      </w:r>
      <w:r w:rsidR="00674A5E" w:rsidRPr="00666E5E">
        <w:rPr>
          <w:rFonts w:asciiTheme="majorHAnsi" w:hAnsiTheme="majorHAnsi" w:cstheme="majorHAnsi"/>
          <w:sz w:val="16"/>
          <w:szCs w:val="16"/>
          <w:lang w:val="en-GB"/>
        </w:rPr>
        <w:t xml:space="preserve">cision on the appointment of the State Commission for technical inspection of works on the construction of the highway Bar - </w:t>
      </w:r>
      <w:proofErr w:type="spellStart"/>
      <w:r w:rsidR="00674A5E" w:rsidRPr="00666E5E">
        <w:rPr>
          <w:rFonts w:asciiTheme="majorHAnsi" w:hAnsiTheme="majorHAnsi" w:cstheme="majorHAnsi"/>
          <w:sz w:val="16"/>
          <w:szCs w:val="16"/>
          <w:lang w:val="en-GB"/>
        </w:rPr>
        <w:t>Boljare</w:t>
      </w:r>
      <w:proofErr w:type="spellEnd"/>
      <w:r w:rsidR="00674A5E" w:rsidRPr="00666E5E">
        <w:rPr>
          <w:rFonts w:asciiTheme="majorHAnsi" w:hAnsiTheme="majorHAnsi" w:cstheme="majorHAnsi"/>
          <w:sz w:val="16"/>
          <w:szCs w:val="16"/>
          <w:lang w:val="en-GB"/>
        </w:rPr>
        <w:t xml:space="preserve">, priority section </w:t>
      </w:r>
      <w:proofErr w:type="spellStart"/>
      <w:r w:rsidR="00674A5E" w:rsidRPr="00666E5E">
        <w:rPr>
          <w:rFonts w:asciiTheme="majorHAnsi" w:hAnsiTheme="majorHAnsi" w:cstheme="majorHAnsi"/>
          <w:sz w:val="16"/>
          <w:szCs w:val="16"/>
          <w:lang w:val="en-GB"/>
        </w:rPr>
        <w:t>Smokovac</w:t>
      </w:r>
      <w:proofErr w:type="spellEnd"/>
      <w:r w:rsidR="00674A5E" w:rsidRPr="00666E5E">
        <w:rPr>
          <w:rFonts w:asciiTheme="majorHAnsi" w:hAnsiTheme="majorHAnsi" w:cstheme="majorHAnsi"/>
          <w:sz w:val="16"/>
          <w:szCs w:val="16"/>
          <w:lang w:val="en-GB"/>
        </w:rPr>
        <w:t xml:space="preserve"> - </w:t>
      </w:r>
      <w:proofErr w:type="spellStart"/>
      <w:r w:rsidR="00674A5E" w:rsidRPr="00666E5E">
        <w:rPr>
          <w:rFonts w:asciiTheme="majorHAnsi" w:hAnsiTheme="majorHAnsi" w:cstheme="majorHAnsi"/>
          <w:sz w:val="16"/>
          <w:szCs w:val="16"/>
          <w:lang w:val="en-GB"/>
        </w:rPr>
        <w:t>Uvač</w:t>
      </w:r>
      <w:proofErr w:type="spellEnd"/>
      <w:r w:rsidR="00674A5E" w:rsidRPr="00666E5E">
        <w:rPr>
          <w:rFonts w:asciiTheme="majorHAnsi" w:hAnsiTheme="majorHAnsi" w:cstheme="majorHAnsi"/>
          <w:sz w:val="16"/>
          <w:szCs w:val="16"/>
          <w:lang w:val="en-GB"/>
        </w:rPr>
        <w:t xml:space="preserve"> - </w:t>
      </w:r>
      <w:proofErr w:type="spellStart"/>
      <w:r w:rsidR="00674A5E" w:rsidRPr="00666E5E">
        <w:rPr>
          <w:rFonts w:asciiTheme="majorHAnsi" w:hAnsiTheme="majorHAnsi" w:cstheme="majorHAnsi"/>
          <w:sz w:val="16"/>
          <w:szCs w:val="16"/>
          <w:lang w:val="en-GB"/>
        </w:rPr>
        <w:t>Mateševo</w:t>
      </w:r>
      <w:proofErr w:type="spellEnd"/>
      <w:r w:rsidR="00674A5E" w:rsidRPr="00666E5E">
        <w:rPr>
          <w:rFonts w:asciiTheme="majorHAnsi" w:hAnsiTheme="majorHAnsi" w:cstheme="majorHAnsi"/>
          <w:sz w:val="16"/>
          <w:szCs w:val="16"/>
          <w:lang w:val="en-GB"/>
        </w:rPr>
        <w:t>, no. 07-524 of 13 February 2020. The exact amount is € 3,553,520.74</w:t>
      </w:r>
      <w:r w:rsidR="00674A5E" w:rsidRPr="00674A5E">
        <w:rPr>
          <w:rFonts w:asciiTheme="majorHAnsi" w:hAnsiTheme="majorHAnsi" w:cstheme="maj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88D"/>
    <w:multiLevelType w:val="hybridMultilevel"/>
    <w:tmpl w:val="AD74EC9E"/>
    <w:lvl w:ilvl="0" w:tplc="CAFCB126">
      <w:start w:val="9"/>
      <w:numFmt w:val="bullet"/>
      <w:lvlText w:val="-"/>
      <w:lvlJc w:val="left"/>
      <w:pPr>
        <w:ind w:left="720" w:hanging="360"/>
      </w:pPr>
      <w:rPr>
        <w:rFonts w:ascii="Calibri Light" w:eastAsiaTheme="minorHAnsi" w:hAnsi="Calibri Light" w:cs="Calibri Light"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0FC35E49"/>
    <w:multiLevelType w:val="hybridMultilevel"/>
    <w:tmpl w:val="DE9A612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15:restartNumberingAfterBreak="0">
    <w:nsid w:val="2D3A48E4"/>
    <w:multiLevelType w:val="hybridMultilevel"/>
    <w:tmpl w:val="215AF1A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687F2CD3"/>
    <w:multiLevelType w:val="hybridMultilevel"/>
    <w:tmpl w:val="A6F8237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E8"/>
    <w:rsid w:val="000130AB"/>
    <w:rsid w:val="00017EE8"/>
    <w:rsid w:val="000850A7"/>
    <w:rsid w:val="000C5EDB"/>
    <w:rsid w:val="00101357"/>
    <w:rsid w:val="00116953"/>
    <w:rsid w:val="00143C03"/>
    <w:rsid w:val="001949F2"/>
    <w:rsid w:val="001C2AB7"/>
    <w:rsid w:val="001C528B"/>
    <w:rsid w:val="001C7838"/>
    <w:rsid w:val="001D7041"/>
    <w:rsid w:val="00203AFB"/>
    <w:rsid w:val="00236103"/>
    <w:rsid w:val="002408D1"/>
    <w:rsid w:val="00247D77"/>
    <w:rsid w:val="00254BA4"/>
    <w:rsid w:val="00294039"/>
    <w:rsid w:val="002D266B"/>
    <w:rsid w:val="002E3644"/>
    <w:rsid w:val="002E7C71"/>
    <w:rsid w:val="003711A9"/>
    <w:rsid w:val="00381EAC"/>
    <w:rsid w:val="003C1CBE"/>
    <w:rsid w:val="00423DBF"/>
    <w:rsid w:val="004746D1"/>
    <w:rsid w:val="00497324"/>
    <w:rsid w:val="004B0FEF"/>
    <w:rsid w:val="004F7836"/>
    <w:rsid w:val="005067A1"/>
    <w:rsid w:val="00582414"/>
    <w:rsid w:val="005C1E58"/>
    <w:rsid w:val="006341E2"/>
    <w:rsid w:val="00644DB2"/>
    <w:rsid w:val="00645AD9"/>
    <w:rsid w:val="00666ADA"/>
    <w:rsid w:val="00666E5E"/>
    <w:rsid w:val="00674A5E"/>
    <w:rsid w:val="0067557E"/>
    <w:rsid w:val="006F56C2"/>
    <w:rsid w:val="007332E6"/>
    <w:rsid w:val="00745AFB"/>
    <w:rsid w:val="007651E7"/>
    <w:rsid w:val="007B3FD2"/>
    <w:rsid w:val="007C0648"/>
    <w:rsid w:val="0080308D"/>
    <w:rsid w:val="0081183B"/>
    <w:rsid w:val="00811B37"/>
    <w:rsid w:val="00847B33"/>
    <w:rsid w:val="008C4D1E"/>
    <w:rsid w:val="00912839"/>
    <w:rsid w:val="0096019F"/>
    <w:rsid w:val="00972F81"/>
    <w:rsid w:val="009E4DCB"/>
    <w:rsid w:val="009F774D"/>
    <w:rsid w:val="00A53441"/>
    <w:rsid w:val="00A55088"/>
    <w:rsid w:val="00AA5507"/>
    <w:rsid w:val="00AC36F5"/>
    <w:rsid w:val="00AD1998"/>
    <w:rsid w:val="00B2232C"/>
    <w:rsid w:val="00B51C6E"/>
    <w:rsid w:val="00B95FED"/>
    <w:rsid w:val="00BB2739"/>
    <w:rsid w:val="00C0554F"/>
    <w:rsid w:val="00CA64CF"/>
    <w:rsid w:val="00CC069D"/>
    <w:rsid w:val="00CD28BB"/>
    <w:rsid w:val="00D27CCB"/>
    <w:rsid w:val="00D44A04"/>
    <w:rsid w:val="00D853F7"/>
    <w:rsid w:val="00D86627"/>
    <w:rsid w:val="00DB39B1"/>
    <w:rsid w:val="00DC16D5"/>
    <w:rsid w:val="00DD4485"/>
    <w:rsid w:val="00DF16F9"/>
    <w:rsid w:val="00E27239"/>
    <w:rsid w:val="00E714E5"/>
    <w:rsid w:val="00E93082"/>
    <w:rsid w:val="00EC3B34"/>
    <w:rsid w:val="00F16854"/>
    <w:rsid w:val="00F6003D"/>
    <w:rsid w:val="00F646BC"/>
    <w:rsid w:val="00F73DAF"/>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D937"/>
  <w15:chartTrackingRefBased/>
  <w15:docId w15:val="{4D502A77-78C8-4526-97C7-7D97294D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7E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7EE8"/>
    <w:rPr>
      <w:sz w:val="20"/>
      <w:szCs w:val="20"/>
    </w:rPr>
  </w:style>
  <w:style w:type="character" w:styleId="FootnoteReference">
    <w:name w:val="footnote reference"/>
    <w:basedOn w:val="DefaultParagraphFont"/>
    <w:uiPriority w:val="99"/>
    <w:semiHidden/>
    <w:unhideWhenUsed/>
    <w:rsid w:val="00017EE8"/>
    <w:rPr>
      <w:vertAlign w:val="superscript"/>
    </w:rPr>
  </w:style>
  <w:style w:type="table" w:styleId="TableGrid">
    <w:name w:val="Table Grid"/>
    <w:basedOn w:val="TableNormal"/>
    <w:uiPriority w:val="39"/>
    <w:rsid w:val="0001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17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EE8"/>
  </w:style>
  <w:style w:type="character" w:styleId="PageNumber">
    <w:name w:val="page number"/>
    <w:basedOn w:val="DefaultParagraphFont"/>
    <w:uiPriority w:val="99"/>
    <w:semiHidden/>
    <w:unhideWhenUsed/>
    <w:rsid w:val="00017EE8"/>
  </w:style>
  <w:style w:type="character" w:styleId="Hyperlink">
    <w:name w:val="Hyperlink"/>
    <w:basedOn w:val="DefaultParagraphFont"/>
    <w:uiPriority w:val="99"/>
    <w:unhideWhenUsed/>
    <w:rsid w:val="00017EE8"/>
    <w:rPr>
      <w:color w:val="0563C1" w:themeColor="hyperlink"/>
      <w:u w:val="single"/>
    </w:rPr>
  </w:style>
  <w:style w:type="paragraph" w:styleId="ListParagraph">
    <w:name w:val="List Paragraph"/>
    <w:basedOn w:val="Normal"/>
    <w:uiPriority w:val="34"/>
    <w:qFormat/>
    <w:rsid w:val="00017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9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4E8DC-5FE4-4730-AD13-1E47B94D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4</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dc:creator>
  <cp:keywords/>
  <dc:description/>
  <cp:lastModifiedBy>Asus</cp:lastModifiedBy>
  <cp:revision>31</cp:revision>
  <dcterms:created xsi:type="dcterms:W3CDTF">2020-05-20T13:42:00Z</dcterms:created>
  <dcterms:modified xsi:type="dcterms:W3CDTF">2020-07-27T10:52:00Z</dcterms:modified>
</cp:coreProperties>
</file>